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58" w:rsidRDefault="00314213" w14:paraId="2A7D54B1" w14:textId="316072FE">
      <w:pPr>
        <w:pStyle w:val="Heading1"/>
      </w:pPr>
      <w:bookmarkStart w:name="_Toc400361362" w:id="0"/>
      <w:bookmarkStart w:name="_Toc443397153" w:id="1"/>
      <w:bookmarkStart w:name="_Toc357771638" w:id="2"/>
      <w:bookmarkStart w:name="_Toc346793416" w:id="3"/>
      <w:bookmarkStart w:name="_Toc328122777" w:id="4"/>
      <w:r>
        <w:t xml:space="preserve">Airy Hill Primary School: </w:t>
      </w:r>
      <w:bookmarkStart w:name="_GoBack" w:id="5"/>
      <w:bookmarkEnd w:id="5"/>
      <w:r w:rsidR="009D71E8">
        <w:t>Pupil premium strategy statement</w:t>
      </w:r>
      <w:bookmarkStart w:name="_Toc338167830" w:id="6"/>
      <w:bookmarkStart w:name="_Toc361136403" w:id="7"/>
      <w:bookmarkStart w:name="_Toc364235708" w:id="8"/>
      <w:bookmarkStart w:name="_Toc364235752" w:id="9"/>
      <w:bookmarkStart w:name="_Toc364235834" w:id="10"/>
      <w:bookmarkStart w:name="_Toc364840099" w:id="11"/>
      <w:bookmarkStart w:name="_Toc364864309" w:id="12"/>
      <w:bookmarkStart w:name="_Toc400361364" w:id="13"/>
      <w:bookmarkStart w:name="_Toc443397154" w:id="14"/>
      <w:bookmarkEnd w:id="0"/>
      <w:bookmarkEnd w:id="1"/>
    </w:p>
    <w:p w:rsidR="00E66558" w:rsidP="123A28D8" w:rsidRDefault="009D71E8" w14:paraId="2A7D54B2" w14:textId="552F18D8">
      <w:pPr>
        <w:pStyle w:val="Heading2"/>
        <w:rPr>
          <w:b w:val="0"/>
          <w:bCs w:val="0"/>
          <w:color w:val="auto"/>
          <w:sz w:val="24"/>
          <w:szCs w:val="24"/>
        </w:rPr>
      </w:pPr>
      <w:r w:rsidRPr="123A28D8" w:rsidR="009D71E8">
        <w:rPr>
          <w:b w:val="0"/>
          <w:bCs w:val="0"/>
          <w:color w:val="auto"/>
          <w:sz w:val="24"/>
          <w:szCs w:val="24"/>
        </w:rPr>
        <w:t>This statement details our school’s use of pupil premium (and recovery premium for the 202</w:t>
      </w:r>
      <w:r w:rsidRPr="123A28D8" w:rsidR="49B610D5">
        <w:rPr>
          <w:b w:val="0"/>
          <w:bCs w:val="0"/>
          <w:color w:val="auto"/>
          <w:sz w:val="24"/>
          <w:szCs w:val="24"/>
        </w:rPr>
        <w:t>2</w:t>
      </w:r>
      <w:r w:rsidRPr="123A28D8" w:rsidR="009D71E8">
        <w:rPr>
          <w:b w:val="0"/>
          <w:bCs w:val="0"/>
          <w:color w:val="auto"/>
          <w:sz w:val="24"/>
          <w:szCs w:val="24"/>
        </w:rPr>
        <w:t xml:space="preserve"> to 202</w:t>
      </w:r>
      <w:r w:rsidRPr="123A28D8" w:rsidR="40AB1594">
        <w:rPr>
          <w:b w:val="0"/>
          <w:bCs w:val="0"/>
          <w:color w:val="auto"/>
          <w:sz w:val="24"/>
          <w:szCs w:val="24"/>
        </w:rPr>
        <w:t>3</w:t>
      </w:r>
      <w:r w:rsidRPr="123A28D8" w:rsidR="009D71E8">
        <w:rPr>
          <w:b w:val="0"/>
          <w:bCs w:val="0"/>
          <w:color w:val="auto"/>
          <w:sz w:val="24"/>
          <w:szCs w:val="24"/>
        </w:rPr>
        <w:t xml:space="preserve"> academic year) funding to help improve the attainment of our disadvantaged pupils. </w:t>
      </w:r>
    </w:p>
    <w:p w:rsidR="00E66558" w:rsidRDefault="009D71E8" w14:paraId="2A7D54B3" w14:textId="7777777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14:paraId="2A7D54B4" w14:textId="77777777">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rsidTr="123A28D8"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123A28D8"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8" w14:textId="77777777">
            <w:pPr>
              <w:pStyle w:val="TableRow"/>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6C4A0D" w14:paraId="2A7D54B9" w14:textId="4C392E17">
            <w:pPr>
              <w:pStyle w:val="TableRow"/>
            </w:pPr>
            <w:r>
              <w:t>Airy Hill Primary School</w:t>
            </w:r>
          </w:p>
        </w:tc>
      </w:tr>
      <w:tr w:rsidR="00E66558" w:rsidTr="123A28D8"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B" w14:textId="77777777">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D287823" w14:paraId="2A7D54BC" w14:textId="66DFDA87">
            <w:pPr>
              <w:pStyle w:val="TableRow"/>
            </w:pPr>
            <w:r>
              <w:t>17</w:t>
            </w:r>
            <w:r w:rsidR="4F95297B">
              <w:t>6</w:t>
            </w:r>
            <w:r w:rsidR="31200AEE">
              <w:t xml:space="preserve"> + nursery</w:t>
            </w:r>
          </w:p>
        </w:tc>
      </w:tr>
      <w:tr w:rsidR="00E66558" w:rsidTr="123A28D8"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D287823" w14:paraId="2A7D54BF" w14:textId="6EEA35C4">
            <w:pPr>
              <w:pStyle w:val="TableRow"/>
            </w:pPr>
            <w:r>
              <w:t>52/17</w:t>
            </w:r>
            <w:r w:rsidR="366C0329">
              <w:t>6</w:t>
            </w:r>
            <w:r>
              <w:t xml:space="preserve"> = 30%</w:t>
            </w:r>
          </w:p>
        </w:tc>
      </w:tr>
      <w:tr w:rsidR="00E66558" w:rsidTr="123A28D8"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1" w14:textId="77777777">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6C4A0D" w14:paraId="1C45549D" w14:textId="7CC59B89">
            <w:pPr>
              <w:pStyle w:val="TableRow"/>
            </w:pPr>
            <w:r>
              <w:t>2021-2022</w:t>
            </w:r>
          </w:p>
          <w:p w:rsidR="006C4A0D" w:rsidRDefault="006C4A0D" w14:paraId="5B6DA906" w14:textId="51AA253A">
            <w:pPr>
              <w:pStyle w:val="TableRow"/>
            </w:pPr>
            <w:r>
              <w:t>2022 - 2023</w:t>
            </w:r>
          </w:p>
          <w:p w:rsidR="006C4A0D" w:rsidRDefault="006C4A0D" w14:paraId="2A7D54C2" w14:textId="24790464">
            <w:pPr>
              <w:pStyle w:val="TableRow"/>
            </w:pPr>
            <w:r>
              <w:t>2023 - 2024</w:t>
            </w:r>
          </w:p>
        </w:tc>
      </w:tr>
      <w:tr w:rsidR="00E66558" w:rsidTr="123A28D8"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4"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6E70E48" w14:paraId="2A7D54C5" w14:textId="74F4324E">
            <w:pPr>
              <w:pStyle w:val="TableRow"/>
            </w:pPr>
            <w:r w:rsidR="46E70E48">
              <w:rPr/>
              <w:t>October 202</w:t>
            </w:r>
            <w:r w:rsidR="6730FC9A">
              <w:rPr/>
              <w:t>2</w:t>
            </w:r>
          </w:p>
        </w:tc>
      </w:tr>
      <w:tr w:rsidR="00E66558" w:rsidTr="123A28D8"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7"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6C4A0D" w14:paraId="2A7D54C8" w14:textId="35D164AF">
            <w:pPr>
              <w:pStyle w:val="TableRow"/>
            </w:pPr>
            <w:r>
              <w:t>Termly over the three years</w:t>
            </w:r>
          </w:p>
        </w:tc>
      </w:tr>
      <w:tr w:rsidR="00E66558" w:rsidTr="123A28D8"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A"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6C4A0D" w14:paraId="2A7D54CB" w14:textId="79EA7304">
            <w:pPr>
              <w:pStyle w:val="TableRow"/>
            </w:pPr>
            <w:r w:rsidR="0AD6DAD4">
              <w:rPr/>
              <w:t>Sam Butters</w:t>
            </w:r>
          </w:p>
        </w:tc>
      </w:tr>
      <w:tr w:rsidR="00E66558" w:rsidTr="123A28D8"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D" w14:textId="77777777">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6C4A0D" w14:paraId="2A7D54CE" w14:textId="11D7FC77">
            <w:pPr>
              <w:pStyle w:val="TableRow"/>
            </w:pPr>
            <w:r w:rsidR="7B316899">
              <w:rPr/>
              <w:t xml:space="preserve">Sam Butters </w:t>
            </w:r>
          </w:p>
        </w:tc>
      </w:tr>
      <w:tr w:rsidR="00E66558" w:rsidTr="123A28D8"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0"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6C4A0D" w14:paraId="2A7D54D1" w14:textId="7900C94F">
            <w:pPr>
              <w:pStyle w:val="TableRow"/>
            </w:pPr>
            <w:r w:rsidR="524B9C02">
              <w:rPr/>
              <w:t>Deborah Hall</w:t>
            </w:r>
          </w:p>
        </w:tc>
      </w:tr>
    </w:tbl>
    <w:bookmarkEnd w:id="2"/>
    <w:bookmarkEnd w:id="3"/>
    <w:bookmarkEnd w:id="4"/>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6CBAD0E0"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6CBAD0E0"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8" w14:textId="5ECF8C0A">
            <w:pPr>
              <w:pStyle w:val="TableRow"/>
            </w:pPr>
            <w:r w:rsidR="2FE7C303">
              <w:rPr/>
              <w:t>£</w:t>
            </w:r>
            <w:r w:rsidR="15432A9E">
              <w:rPr/>
              <w:t>69,940</w:t>
            </w:r>
          </w:p>
        </w:tc>
      </w:tr>
      <w:tr w:rsidR="00E66558" w:rsidTr="6CBAD0E0"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A" w14:textId="77777777">
            <w:pPr>
              <w:pStyle w:val="TableRow"/>
            </w:pPr>
            <w: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B" w14:textId="25F446FD">
            <w:pPr>
              <w:pStyle w:val="TableRow"/>
            </w:pPr>
            <w:r w:rsidR="00C041DF">
              <w:rPr/>
              <w:t>£7540</w:t>
            </w:r>
          </w:p>
        </w:tc>
      </w:tr>
      <w:tr w:rsidR="00E66558" w:rsidTr="6CBAD0E0"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E" w14:textId="65E37937">
            <w:pPr>
              <w:pStyle w:val="TableRow"/>
            </w:pPr>
            <w:r>
              <w:t>£</w:t>
            </w:r>
            <w:r w:rsidR="006C4A0D">
              <w:t>0</w:t>
            </w:r>
          </w:p>
        </w:tc>
      </w:tr>
      <w:tr w:rsidR="00E66558" w:rsidTr="6CBAD0E0"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0" w14:textId="77777777">
            <w:pPr>
              <w:pStyle w:val="TableRow"/>
              <w:rPr>
                <w:b/>
              </w:rPr>
            </w:pPr>
            <w:r>
              <w:rPr>
                <w:b/>
              </w:rPr>
              <w:t>Total budget for this academic year</w:t>
            </w:r>
          </w:p>
          <w:p w:rsidR="00E66558" w:rsidRDefault="009D71E8" w14:paraId="2A7D54E1" w14:textId="77777777">
            <w:pPr>
              <w:pStyle w:val="TableRow"/>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2" w14:textId="5D4459BD">
            <w:pPr>
              <w:pStyle w:val="TableRow"/>
            </w:pPr>
            <w:r>
              <w:t>£</w:t>
            </w:r>
            <w:r w:rsidR="00C041DF">
              <w:t>77,480</w:t>
            </w:r>
          </w:p>
        </w:tc>
      </w:tr>
    </w:tbl>
    <w:p w:rsidR="00E66558" w:rsidRDefault="009D71E8" w14:paraId="2A7D54E4" w14:textId="77777777">
      <w:pPr>
        <w:pStyle w:val="Heading1"/>
      </w:pPr>
      <w:r>
        <w:lastRenderedPageBreak/>
        <w:t>Part A: Pupil premium strategy plan</w:t>
      </w:r>
    </w:p>
    <w:p w:rsidR="00E66558" w:rsidRDefault="009D71E8" w14:paraId="2A7D54E5" w14:textId="77777777">
      <w:pPr>
        <w:pStyle w:val="Heading2"/>
      </w:pPr>
      <w:bookmarkStart w:name="_Toc357771640" w:id="15"/>
      <w:bookmarkStart w:name="_Toc346793418" w:id="16"/>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6CBAD0E0"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C3061" w:rsidR="00C041DF" w:rsidRDefault="00C041DF" w14:paraId="5C2CA4D8" w14:textId="179D0567">
            <w:pPr>
              <w:spacing w:before="120"/>
            </w:pPr>
            <w:r w:rsidRPr="002C3061">
              <w:t xml:space="preserve">Our ultimate aim for disadvantaged children </w:t>
            </w:r>
            <w:r w:rsidR="00F662B2">
              <w:t>is</w:t>
            </w:r>
            <w:r w:rsidRPr="002C3061">
              <w:t xml:space="preserve"> as follows:</w:t>
            </w:r>
          </w:p>
          <w:p w:rsidRPr="002C3061" w:rsidR="00C041DF" w:rsidP="00C041DF" w:rsidRDefault="3FAA5D89" w14:paraId="1742B418" w14:textId="3895EF67">
            <w:pPr>
              <w:pStyle w:val="ListParagraph"/>
              <w:numPr>
                <w:ilvl w:val="0"/>
                <w:numId w:val="14"/>
              </w:numPr>
              <w:spacing w:before="120"/>
              <w:rPr/>
            </w:pPr>
            <w:r w:rsidR="3FAA5D89">
              <w:rPr/>
              <w:t xml:space="preserve">Through consistently high-quality teaching and learning, </w:t>
            </w:r>
            <w:r w:rsidR="25C4F674">
              <w:rPr/>
              <w:t>remove</w:t>
            </w:r>
            <w:r w:rsidR="3FAA5D89">
              <w:rPr/>
              <w:t xml:space="preserve"> the attainment gap in core subjects between disadvantaged children and their peers. </w:t>
            </w:r>
          </w:p>
          <w:p w:rsidRPr="002C3061" w:rsidR="00C041DF" w:rsidP="00C041DF" w:rsidRDefault="607EF66F" w14:paraId="15901298" w14:textId="62E33206">
            <w:pPr>
              <w:pStyle w:val="ListParagraph"/>
              <w:numPr>
                <w:ilvl w:val="0"/>
                <w:numId w:val="13"/>
              </w:numPr>
              <w:spacing w:before="120"/>
            </w:pPr>
            <w:r>
              <w:t xml:space="preserve">Through a high-quality curriculum and accessible enrichment activities, provide disadvantaged children with the knowledge, skills and cultural capital to succeed at least as well as their peers. </w:t>
            </w:r>
          </w:p>
          <w:p w:rsidRPr="00C041DF" w:rsidR="00E66558" w:rsidP="00C041DF" w:rsidRDefault="607EF66F" w14:paraId="2A7D54E9" w14:textId="2340F847">
            <w:pPr>
              <w:pStyle w:val="ListParagraph"/>
              <w:numPr>
                <w:ilvl w:val="0"/>
                <w:numId w:val="13"/>
              </w:numPr>
              <w:spacing w:before="120"/>
              <w:rPr>
                <w:i/>
                <w:iCs/>
              </w:rPr>
            </w:pPr>
            <w:r>
              <w:t>Through a strong PSHE curriculum, health and well-being teaching and a supportive, nurturing environment, enable children to overcome personal challenges and maintain a strong school attendance.</w:t>
            </w:r>
          </w:p>
        </w:tc>
      </w:tr>
    </w:tbl>
    <w:p w:rsidR="00E66558" w:rsidRDefault="009D71E8" w14:paraId="2A7D54EB" w14:textId="77777777">
      <w:pPr>
        <w:pStyle w:val="Heading2"/>
        <w:spacing w:before="600"/>
      </w:pPr>
      <w:r>
        <w:t>Challenges</w:t>
      </w:r>
    </w:p>
    <w:p w:rsidR="00E66558" w:rsidRDefault="009D71E8" w14:paraId="2A7D54EC"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Tr="123A28D8"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E66558" w:rsidTr="123A28D8" w14:paraId="2A7D54F2"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0" w14:textId="77777777">
            <w:pPr>
              <w:pStyle w:val="TableRow"/>
              <w:rPr>
                <w:sz w:val="22"/>
                <w:szCs w:val="22"/>
              </w:rPr>
            </w:pPr>
            <w:r>
              <w:rPr>
                <w:sz w:val="22"/>
                <w:szCs w:val="2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C041DF" w14:paraId="2A7D54F1" w14:textId="1A0EF471">
            <w:pPr>
              <w:pStyle w:val="TableRowCentered"/>
              <w:jc w:val="left"/>
            </w:pPr>
            <w:r w:rsidR="472FE7EB">
              <w:rPr/>
              <w:t>Attendance of pupil premium children (9</w:t>
            </w:r>
            <w:r w:rsidR="11EAE4FE">
              <w:rPr/>
              <w:t>3</w:t>
            </w:r>
            <w:r w:rsidR="472FE7EB">
              <w:rPr/>
              <w:t>.</w:t>
            </w:r>
            <w:r w:rsidR="74266FF8">
              <w:rPr/>
              <w:t>6</w:t>
            </w:r>
            <w:r w:rsidR="472FE7EB">
              <w:rPr/>
              <w:t>%) during the academic year 202</w:t>
            </w:r>
            <w:r w:rsidR="24FD9BBD">
              <w:rPr/>
              <w:t>2</w:t>
            </w:r>
            <w:r w:rsidR="472FE7EB">
              <w:rPr/>
              <w:t>-202</w:t>
            </w:r>
            <w:r w:rsidR="102854EB">
              <w:rPr/>
              <w:t>3</w:t>
            </w:r>
            <w:r w:rsidR="472FE7EB">
              <w:rPr/>
              <w:t>.</w:t>
            </w:r>
          </w:p>
        </w:tc>
      </w:tr>
      <w:tr w:rsidR="00E66558" w:rsidTr="123A28D8" w14:paraId="2A7D54F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3" w14:textId="77777777">
            <w:pPr>
              <w:pStyle w:val="TableRow"/>
              <w:rPr>
                <w:sz w:val="22"/>
                <w:szCs w:val="22"/>
              </w:rPr>
            </w:pPr>
            <w:r>
              <w:rPr>
                <w:sz w:val="22"/>
                <w:szCs w:val="22"/>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E04A0" w14:paraId="2A7D54F4" w14:textId="4F00D133">
            <w:pPr>
              <w:pStyle w:val="TableRowCentered"/>
              <w:jc w:val="left"/>
              <w:rPr>
                <w:sz w:val="22"/>
                <w:szCs w:val="22"/>
              </w:rPr>
            </w:pPr>
            <w:r>
              <w:rPr>
                <w:sz w:val="22"/>
                <w:szCs w:val="22"/>
              </w:rPr>
              <w:t>Low attainment of all children in writing as a result of school closures.</w:t>
            </w:r>
          </w:p>
        </w:tc>
      </w:tr>
      <w:tr w:rsidR="00E66558" w:rsidTr="123A28D8" w14:paraId="2A7D54F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6" w14:textId="77777777">
            <w:pPr>
              <w:pStyle w:val="TableRow"/>
              <w:rPr>
                <w:sz w:val="22"/>
                <w:szCs w:val="22"/>
              </w:rPr>
            </w:pPr>
            <w:r>
              <w:rPr>
                <w:sz w:val="22"/>
                <w:szCs w:val="22"/>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E04A0" w14:paraId="2A7D54F7" w14:textId="43666819">
            <w:pPr>
              <w:pStyle w:val="TableRowCentered"/>
              <w:jc w:val="left"/>
              <w:rPr>
                <w:sz w:val="22"/>
                <w:szCs w:val="22"/>
              </w:rPr>
            </w:pPr>
            <w:r>
              <w:rPr>
                <w:sz w:val="22"/>
                <w:szCs w:val="22"/>
              </w:rPr>
              <w:t xml:space="preserve">Gaps in learning in mathematics due to school closures and a remote learning curriculum. </w:t>
            </w:r>
          </w:p>
        </w:tc>
      </w:tr>
      <w:tr w:rsidR="00E66558" w:rsidTr="123A28D8" w14:paraId="2A7D54FB"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9" w14:textId="77777777">
            <w:pPr>
              <w:pStyle w:val="TableRow"/>
              <w:rPr>
                <w:sz w:val="22"/>
                <w:szCs w:val="22"/>
              </w:rPr>
            </w:pPr>
            <w:r>
              <w:rPr>
                <w:sz w:val="22"/>
                <w:szCs w:val="22"/>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E04A0" w14:paraId="2A7D54FA" w14:textId="062D7360">
            <w:pPr>
              <w:pStyle w:val="TableRowCentered"/>
              <w:jc w:val="left"/>
              <w:rPr>
                <w:iCs/>
                <w:sz w:val="22"/>
              </w:rPr>
            </w:pPr>
            <w:r>
              <w:rPr>
                <w:iCs/>
                <w:sz w:val="22"/>
              </w:rPr>
              <w:t>Reduced access to high quality enrichment activities due to financial restraints and geographical location.</w:t>
            </w:r>
          </w:p>
        </w:tc>
      </w:tr>
      <w:tr w:rsidR="00E66558" w:rsidTr="123A28D8" w14:paraId="2A7D54FE"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C" w14:textId="77777777">
            <w:pPr>
              <w:pStyle w:val="TableRow"/>
              <w:rPr>
                <w:sz w:val="22"/>
                <w:szCs w:val="22"/>
              </w:rPr>
            </w:pPr>
            <w:bookmarkStart w:name="_Toc443397160" w:id="17"/>
            <w:r>
              <w:rPr>
                <w:sz w:val="22"/>
                <w:szCs w:val="22"/>
              </w:rPr>
              <w:t>5</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E04A0" w14:paraId="2A7D54FD" w14:textId="0B510257">
            <w:pPr>
              <w:pStyle w:val="TableRowCentered"/>
              <w:jc w:val="left"/>
              <w:rPr>
                <w:iCs/>
                <w:sz w:val="22"/>
              </w:rPr>
            </w:pPr>
            <w:r>
              <w:rPr>
                <w:iCs/>
                <w:sz w:val="22"/>
              </w:rPr>
              <w:t>Poor mental health and resilience exacerbated by pandemic</w:t>
            </w:r>
          </w:p>
        </w:tc>
      </w:tr>
    </w:tbl>
    <w:p w:rsidR="002173A3" w:rsidRDefault="002173A3" w14:paraId="6578716C" w14:textId="77777777">
      <w:pPr>
        <w:pStyle w:val="Heading2"/>
        <w:spacing w:before="600"/>
      </w:pPr>
    </w:p>
    <w:p w:rsidR="002173A3" w:rsidRDefault="002173A3" w14:paraId="2C344E74" w14:textId="77777777">
      <w:pPr>
        <w:suppressAutoHyphens w:val="0"/>
        <w:spacing w:after="0" w:line="240" w:lineRule="auto"/>
        <w:rPr>
          <w:b/>
          <w:color w:val="104F75"/>
          <w:sz w:val="32"/>
          <w:szCs w:val="32"/>
        </w:rPr>
      </w:pPr>
      <w:r>
        <w:br w:type="page"/>
      </w:r>
    </w:p>
    <w:p w:rsidR="00E66558" w:rsidRDefault="009D71E8" w14:paraId="2A7D54FF" w14:textId="58A42535">
      <w:pPr>
        <w:pStyle w:val="Heading2"/>
        <w:spacing w:before="600"/>
      </w:pPr>
      <w:r>
        <w:lastRenderedPageBreak/>
        <w:t xml:space="preserve">Intended outcomes </w:t>
      </w: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15F14B68"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15F14B68"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3E04A0" w:rsidRDefault="003E04A0" w14:paraId="2A7D5504" w14:textId="4098B41D">
            <w:pPr>
              <w:pStyle w:val="TableRow"/>
              <w:ind w:left="0"/>
            </w:pPr>
            <w:r>
              <w:t>Rapid progress in writing and maths.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BB7193" w14:paraId="2A7D5505" w14:textId="2A429838">
            <w:pPr>
              <w:pStyle w:val="TableRowCentered"/>
              <w:jc w:val="left"/>
              <w:rPr>
                <w:sz w:val="22"/>
                <w:szCs w:val="22"/>
              </w:rPr>
            </w:pPr>
            <w:r w:rsidRPr="15F14B68">
              <w:rPr>
                <w:sz w:val="22"/>
                <w:szCs w:val="22"/>
              </w:rPr>
              <w:t>Disadvantaged pupils will make more than expected progress from their current assessments in September 21</w:t>
            </w:r>
            <w:r w:rsidRPr="15F14B68" w:rsidR="79562DC9">
              <w:rPr>
                <w:sz w:val="22"/>
                <w:szCs w:val="22"/>
              </w:rPr>
              <w:t xml:space="preserve"> </w:t>
            </w:r>
            <w:r w:rsidR="00F662B2">
              <w:rPr>
                <w:sz w:val="22"/>
                <w:szCs w:val="22"/>
              </w:rPr>
              <w:t xml:space="preserve">in order </w:t>
            </w:r>
            <w:proofErr w:type="gramStart"/>
            <w:r w:rsidR="00F662B2">
              <w:rPr>
                <w:sz w:val="22"/>
                <w:szCs w:val="22"/>
              </w:rPr>
              <w:t xml:space="preserve">to </w:t>
            </w:r>
            <w:r w:rsidRPr="15F14B68" w:rsidR="79562DC9">
              <w:rPr>
                <w:sz w:val="22"/>
                <w:szCs w:val="22"/>
              </w:rPr>
              <w:t xml:space="preserve"> reach</w:t>
            </w:r>
            <w:proofErr w:type="gramEnd"/>
            <w:r w:rsidRPr="15F14B68" w:rsidR="79562DC9">
              <w:rPr>
                <w:sz w:val="22"/>
                <w:szCs w:val="22"/>
              </w:rPr>
              <w:t xml:space="preserve"> ARE by </w:t>
            </w:r>
            <w:r w:rsidRPr="15F14B68" w:rsidR="2D768770">
              <w:rPr>
                <w:sz w:val="22"/>
                <w:szCs w:val="22"/>
              </w:rPr>
              <w:t>2</w:t>
            </w:r>
            <w:r w:rsidRPr="15F14B68" w:rsidR="79562DC9">
              <w:rPr>
                <w:sz w:val="22"/>
                <w:szCs w:val="22"/>
              </w:rPr>
              <w:t xml:space="preserve">024 (except for </w:t>
            </w:r>
            <w:r w:rsidR="00F662B2">
              <w:rPr>
                <w:sz w:val="22"/>
                <w:szCs w:val="22"/>
              </w:rPr>
              <w:t>identified</w:t>
            </w:r>
            <w:r w:rsidRPr="15F14B68" w:rsidR="79562DC9">
              <w:rPr>
                <w:sz w:val="22"/>
                <w:szCs w:val="22"/>
              </w:rPr>
              <w:t xml:space="preserve"> SEND)</w:t>
            </w:r>
          </w:p>
        </w:tc>
      </w:tr>
      <w:tr w:rsidR="00E66558" w:rsidTr="15F14B68" w14:paraId="2A7D550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E04A0" w14:paraId="2A7D5507" w14:textId="7CD734C7">
            <w:pPr>
              <w:pStyle w:val="TableRow"/>
              <w:rPr>
                <w:sz w:val="22"/>
                <w:szCs w:val="22"/>
              </w:rPr>
            </w:pPr>
            <w:r>
              <w:rPr>
                <w:sz w:val="22"/>
                <w:szCs w:val="22"/>
              </w:rPr>
              <w:t>Increased attendance.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F662B2" w:rsidR="00E66558" w:rsidP="00F662B2" w:rsidRDefault="00F662B2" w14:paraId="2A7D5508" w14:textId="4594E056">
            <w:pPr>
              <w:pStyle w:val="TableRowCentered"/>
              <w:jc w:val="left"/>
              <w:rPr>
                <w:rFonts w:eastAsia="Arial" w:cs="Arial"/>
                <w:color w:val="0D0D0D" w:themeColor="text1" w:themeTint="F2"/>
                <w:sz w:val="22"/>
                <w:szCs w:val="22"/>
              </w:rPr>
            </w:pPr>
            <w:r>
              <w:rPr>
                <w:rFonts w:eastAsia="Arial" w:cs="Arial"/>
                <w:color w:val="0D0D0D" w:themeColor="text1" w:themeTint="F2"/>
                <w:sz w:val="22"/>
                <w:szCs w:val="22"/>
              </w:rPr>
              <w:t>Attendance of all PP children to increase year on year so that this is at</w:t>
            </w:r>
            <w:r w:rsidRPr="6161B64B" w:rsidR="519FE56C">
              <w:rPr>
                <w:rFonts w:eastAsia="Arial" w:cs="Arial"/>
                <w:color w:val="0D0D0D" w:themeColor="text1" w:themeTint="F2"/>
                <w:sz w:val="22"/>
                <w:szCs w:val="22"/>
              </w:rPr>
              <w:t xml:space="preserve"> least 96%</w:t>
            </w:r>
            <w:r>
              <w:rPr>
                <w:rFonts w:eastAsia="Arial" w:cs="Arial"/>
                <w:color w:val="0D0D0D" w:themeColor="text1" w:themeTint="F2"/>
                <w:sz w:val="22"/>
                <w:szCs w:val="22"/>
              </w:rPr>
              <w:t xml:space="preserve"> by 2024.</w:t>
            </w:r>
          </w:p>
        </w:tc>
      </w:tr>
      <w:tr w:rsidR="00E66558" w:rsidTr="15F14B68" w14:paraId="2A7D550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E04A0" w14:paraId="2A7D550A" w14:textId="2B5C044F">
            <w:pPr>
              <w:pStyle w:val="TableRow"/>
              <w:rPr>
                <w:sz w:val="22"/>
                <w:szCs w:val="22"/>
              </w:rPr>
            </w:pPr>
            <w:r>
              <w:rPr>
                <w:sz w:val="22"/>
                <w:szCs w:val="22"/>
              </w:rPr>
              <w:t>Increased cultural capital.</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F662B2" w14:paraId="2A7D550B" w14:textId="0C76EEDF">
            <w:pPr>
              <w:pStyle w:val="TableRowCentered"/>
              <w:jc w:val="left"/>
              <w:rPr>
                <w:sz w:val="22"/>
                <w:szCs w:val="22"/>
              </w:rPr>
            </w:pPr>
            <w:r>
              <w:rPr>
                <w:sz w:val="22"/>
                <w:szCs w:val="22"/>
              </w:rPr>
              <w:t xml:space="preserve">As a result of </w:t>
            </w:r>
            <w:r w:rsidRPr="6161B64B" w:rsidR="5B3D67EF">
              <w:rPr>
                <w:sz w:val="22"/>
                <w:szCs w:val="22"/>
              </w:rPr>
              <w:t>access</w:t>
            </w:r>
            <w:r>
              <w:rPr>
                <w:sz w:val="22"/>
                <w:szCs w:val="22"/>
              </w:rPr>
              <w:t xml:space="preserve"> to</w:t>
            </w:r>
            <w:r w:rsidRPr="6161B64B" w:rsidR="5B3D67EF">
              <w:rPr>
                <w:sz w:val="22"/>
                <w:szCs w:val="22"/>
              </w:rPr>
              <w:t xml:space="preserve"> wider opportunities within school including visits, visitors, </w:t>
            </w:r>
            <w:r w:rsidRPr="6161B64B" w:rsidR="4D3F6B92">
              <w:rPr>
                <w:sz w:val="22"/>
                <w:szCs w:val="22"/>
              </w:rPr>
              <w:t>residentials, London</w:t>
            </w:r>
            <w:r>
              <w:rPr>
                <w:sz w:val="22"/>
                <w:szCs w:val="22"/>
              </w:rPr>
              <w:t xml:space="preserve"> visit, children can demonstrate increase cultural capital</w:t>
            </w:r>
          </w:p>
        </w:tc>
      </w:tr>
      <w:tr w:rsidR="00E66558" w:rsidTr="15F14B68" w14:paraId="2A7D550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E04A0" w14:paraId="2A7D550D" w14:textId="351C2B3F">
            <w:pPr>
              <w:pStyle w:val="TableRow"/>
              <w:rPr>
                <w:sz w:val="22"/>
                <w:szCs w:val="22"/>
              </w:rPr>
            </w:pPr>
            <w:r>
              <w:rPr>
                <w:sz w:val="22"/>
                <w:szCs w:val="22"/>
              </w:rPr>
              <w:t>Increased resilience.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5F14B68" w:rsidRDefault="7CD815CC" w14:paraId="2A7D550E" w14:textId="17506F46">
            <w:pPr>
              <w:pStyle w:val="TableRowCentered"/>
              <w:ind w:left="0"/>
              <w:jc w:val="left"/>
              <w:rPr>
                <w:sz w:val="22"/>
                <w:szCs w:val="22"/>
              </w:rPr>
            </w:pPr>
            <w:r w:rsidRPr="15F14B68">
              <w:rPr>
                <w:sz w:val="22"/>
                <w:szCs w:val="22"/>
              </w:rPr>
              <w:t>All disadvantaged pupils to be provided with focused teacher support and intervention</w:t>
            </w:r>
            <w:r w:rsidRPr="15F14B68" w:rsidR="540EF04A">
              <w:rPr>
                <w:sz w:val="22"/>
                <w:szCs w:val="22"/>
              </w:rPr>
              <w:t xml:space="preserve"> in the classroom</w:t>
            </w:r>
            <w:r w:rsidRPr="15F14B68">
              <w:rPr>
                <w:sz w:val="22"/>
                <w:szCs w:val="22"/>
              </w:rPr>
              <w:t xml:space="preserve"> </w:t>
            </w:r>
            <w:r w:rsidRPr="15F14B68" w:rsidR="154383EB">
              <w:rPr>
                <w:sz w:val="22"/>
                <w:szCs w:val="22"/>
              </w:rPr>
              <w:t xml:space="preserve">resulting in more than expected progress from current assessments in September 21 </w:t>
            </w:r>
            <w:r w:rsidR="00F662B2">
              <w:rPr>
                <w:sz w:val="22"/>
                <w:szCs w:val="22"/>
              </w:rPr>
              <w:t>in order to reach</w:t>
            </w:r>
            <w:r w:rsidRPr="15F14B68" w:rsidR="154383EB">
              <w:rPr>
                <w:sz w:val="22"/>
                <w:szCs w:val="22"/>
              </w:rPr>
              <w:t xml:space="preserve"> ARE by 2024 (except for</w:t>
            </w:r>
            <w:r w:rsidR="00F662B2">
              <w:rPr>
                <w:sz w:val="22"/>
                <w:szCs w:val="22"/>
              </w:rPr>
              <w:t xml:space="preserve"> identified</w:t>
            </w:r>
            <w:r w:rsidRPr="15F14B68" w:rsidR="154383EB">
              <w:rPr>
                <w:sz w:val="22"/>
                <w:szCs w:val="22"/>
              </w:rPr>
              <w:t xml:space="preserve"> SEND)</w:t>
            </w:r>
          </w:p>
        </w:tc>
      </w:tr>
    </w:tbl>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00E66558" w:rsidRDefault="009D71E8" w14:paraId="2A7D5512" w14:textId="7B489199">
      <w:pPr>
        <w:pStyle w:val="Heading2"/>
      </w:pPr>
      <w:r>
        <w:lastRenderedPageBreak/>
        <w:t>Activity in this academic year</w:t>
      </w: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Pr="002173A3" w:rsidR="00E66558" w:rsidP="123A28D8" w:rsidRDefault="009D71E8" w14:paraId="2A7D5515" w14:textId="2360A65E">
      <w:pPr>
        <w:rPr>
          <w:i w:val="1"/>
          <w:iCs w:val="1"/>
        </w:rPr>
      </w:pPr>
      <w:r w:rsidR="009D71E8">
        <w:rPr/>
        <w:t>Budgeted cost: £</w:t>
      </w:r>
      <w:r w:rsidR="002173A3">
        <w:rPr/>
        <w:t>1</w:t>
      </w:r>
      <w:r w:rsidR="088C683E">
        <w:rPr/>
        <w:t>4</w:t>
      </w:r>
      <w:r w:rsidR="002173A3">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123A28D8" w14:paraId="2A7D55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t>Challenge number(s) addressed</w:t>
            </w:r>
          </w:p>
        </w:tc>
      </w:tr>
      <w:tr w:rsidR="00E66558" w:rsidTr="123A28D8" w14:paraId="2A7D551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E04A0" w14:paraId="2A7D551A" w14:textId="473A77D2">
            <w:pPr>
              <w:pStyle w:val="TableRow"/>
            </w:pPr>
            <w:r>
              <w:t>Curriculum Development</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F5D2C" w:rsidP="15F14B68" w:rsidRDefault="002F5D2C" w14:paraId="5DD82D22" w14:textId="77777777">
            <w:pPr>
              <w:pStyle w:val="TableRowCentered"/>
              <w:jc w:val="left"/>
              <w:rPr>
                <w:sz w:val="22"/>
                <w:szCs w:val="22"/>
              </w:rPr>
            </w:pPr>
            <w:r>
              <w:rPr>
                <w:sz w:val="22"/>
                <w:szCs w:val="22"/>
              </w:rPr>
              <w:t>Ofsted Curriculum Reports</w:t>
            </w:r>
          </w:p>
          <w:p w:rsidRPr="002F5D2C" w:rsidR="00E66558" w:rsidP="002F5D2C" w:rsidRDefault="002F5D2C" w14:paraId="2A7D551B" w14:textId="05E604C7">
            <w:pPr>
              <w:pStyle w:val="TableRowCentered"/>
              <w:jc w:val="left"/>
              <w:rPr>
                <w:sz w:val="22"/>
                <w:szCs w:val="22"/>
              </w:rPr>
            </w:pPr>
            <w:r>
              <w:rPr>
                <w:sz w:val="22"/>
                <w:szCs w:val="22"/>
              </w:rPr>
              <w:t>Department for Education aims and expectations for curriculum study</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2C3061" w14:paraId="2A7D551C" w14:textId="67BF9F94">
            <w:pPr>
              <w:pStyle w:val="TableRowCentered"/>
              <w:jc w:val="left"/>
              <w:rPr>
                <w:sz w:val="22"/>
              </w:rPr>
            </w:pPr>
            <w:r>
              <w:rPr>
                <w:sz w:val="22"/>
              </w:rPr>
              <w:t>2, 3, 4</w:t>
            </w:r>
          </w:p>
        </w:tc>
      </w:tr>
      <w:tr w:rsidR="00E66558" w:rsidTr="123A28D8" w14:paraId="2A7D5521"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23A28D8" w:rsidRDefault="003E04A0" w14:paraId="2A7D551E" w14:textId="288C73CE">
            <w:pPr>
              <w:pStyle w:val="TableRow"/>
              <w:rPr>
                <w:i w:val="1"/>
                <w:iCs w:val="1"/>
                <w:sz w:val="22"/>
                <w:szCs w:val="22"/>
              </w:rPr>
            </w:pPr>
            <w:r w:rsidRPr="123A28D8" w:rsidR="2B92D760">
              <w:rPr>
                <w:i w:val="1"/>
                <w:iCs w:val="1"/>
                <w:sz w:val="22"/>
                <w:szCs w:val="22"/>
              </w:rPr>
              <w:t>Assessment training</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2F5D2C" w:rsidRDefault="002F5D2C" w14:paraId="6493EB06" w14:textId="4BABB90A">
            <w:pPr>
              <w:pStyle w:val="TableRowCentered"/>
              <w:ind w:left="0"/>
              <w:jc w:val="left"/>
              <w:rPr>
                <w:sz w:val="22"/>
                <w:szCs w:val="22"/>
              </w:rPr>
            </w:pPr>
            <w:r>
              <w:rPr>
                <w:sz w:val="22"/>
                <w:szCs w:val="22"/>
              </w:rPr>
              <w:t xml:space="preserve">Dylan </w:t>
            </w:r>
            <w:proofErr w:type="spellStart"/>
            <w:r>
              <w:rPr>
                <w:sz w:val="22"/>
                <w:szCs w:val="22"/>
              </w:rPr>
              <w:t>Wiliam</w:t>
            </w:r>
            <w:proofErr w:type="spellEnd"/>
            <w:r>
              <w:rPr>
                <w:sz w:val="22"/>
                <w:szCs w:val="22"/>
              </w:rPr>
              <w:t xml:space="preserve"> / </w:t>
            </w:r>
            <w:proofErr w:type="spellStart"/>
            <w:r>
              <w:rPr>
                <w:sz w:val="22"/>
                <w:szCs w:val="22"/>
              </w:rPr>
              <w:t>Rosenshine</w:t>
            </w:r>
            <w:proofErr w:type="spellEnd"/>
            <w:r>
              <w:rPr>
                <w:sz w:val="22"/>
                <w:szCs w:val="22"/>
              </w:rPr>
              <w:t xml:space="preserve"> – impact of increasing pupil participation</w:t>
            </w:r>
          </w:p>
          <w:p w:rsidR="00E66558" w:rsidP="15F14B68" w:rsidRDefault="2C89A18F" w14:paraId="2A7D551F" w14:textId="1F59818A">
            <w:pPr>
              <w:pStyle w:val="TableRowCentered"/>
              <w:jc w:val="left"/>
              <w:rPr>
                <w:sz w:val="22"/>
                <w:szCs w:val="22"/>
              </w:rPr>
            </w:pPr>
            <w:r w:rsidRPr="123A28D8" w:rsidR="68329F11">
              <w:rPr>
                <w:sz w:val="22"/>
                <w:szCs w:val="22"/>
              </w:rPr>
              <w:t>EEF – usi</w:t>
            </w:r>
            <w:r w:rsidRPr="123A28D8" w:rsidR="513E7DCC">
              <w:rPr>
                <w:sz w:val="22"/>
                <w:szCs w:val="22"/>
              </w:rPr>
              <w:t xml:space="preserve">ng assessment as an effective tool for learning. </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2C3061" w:rsidRDefault="002C3061" w14:paraId="2A7D5520" w14:textId="23FB3211">
            <w:pPr>
              <w:pStyle w:val="TableRowCentered"/>
              <w:ind w:left="0"/>
              <w:jc w:val="left"/>
              <w:rPr>
                <w:sz w:val="22"/>
              </w:rPr>
            </w:pPr>
            <w:r>
              <w:rPr>
                <w:sz w:val="22"/>
              </w:rPr>
              <w:t>3, 4</w:t>
            </w:r>
          </w:p>
        </w:tc>
      </w:tr>
      <w:tr w:rsidR="003E04A0" w:rsidTr="123A28D8" w14:paraId="0C127CD6"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173A3" w:rsidR="003E04A0" w:rsidP="15F14B68" w:rsidRDefault="003E04A0" w14:paraId="3A15AC8B" w14:textId="53157EF4">
            <w:pPr>
              <w:pStyle w:val="TableRow"/>
              <w:rPr>
                <w:i/>
                <w:iCs/>
                <w:sz w:val="22"/>
                <w:szCs w:val="22"/>
              </w:rPr>
            </w:pPr>
            <w:r w:rsidRPr="002173A3">
              <w:rPr>
                <w:i/>
                <w:iCs/>
                <w:sz w:val="22"/>
                <w:szCs w:val="22"/>
              </w:rPr>
              <w:t xml:space="preserve">Support for pedagogy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173A3" w:rsidR="003E04A0" w:rsidRDefault="00F662B2" w14:paraId="5C6CBA68" w14:textId="77777777">
            <w:pPr>
              <w:pStyle w:val="TableRowCentered"/>
              <w:jc w:val="left"/>
              <w:rPr>
                <w:sz w:val="22"/>
              </w:rPr>
            </w:pPr>
            <w:r w:rsidRPr="002173A3">
              <w:rPr>
                <w:sz w:val="22"/>
              </w:rPr>
              <w:t xml:space="preserve">EEF Toolkit indicates that mastery learning has a very high positive impact. </w:t>
            </w:r>
          </w:p>
          <w:p w:rsidRPr="002173A3" w:rsidR="00F662B2" w:rsidRDefault="00F662B2" w14:paraId="6C892B75" w14:textId="37112230">
            <w:pPr>
              <w:pStyle w:val="TableRowCentered"/>
              <w:jc w:val="left"/>
              <w:rPr>
                <w:sz w:val="22"/>
              </w:rPr>
            </w:pPr>
            <w:r w:rsidRPr="002173A3">
              <w:rPr>
                <w:sz w:val="22"/>
              </w:rPr>
              <w:t xml:space="preserve">Rosenshine’s principals </w:t>
            </w:r>
            <w:r w:rsidRPr="002173A3" w:rsidR="002F5D2C">
              <w:rPr>
                <w:sz w:val="22"/>
              </w:rPr>
              <w:t>are widely recognised for their potential to support teachers in engaging with cognitive science.</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RDefault="002C3061" w14:paraId="655514F9" w14:textId="085EFF59">
            <w:pPr>
              <w:pStyle w:val="TableRowCentered"/>
              <w:jc w:val="left"/>
              <w:rPr>
                <w:sz w:val="22"/>
              </w:rPr>
            </w:pPr>
            <w:r>
              <w:rPr>
                <w:sz w:val="22"/>
              </w:rPr>
              <w:t>2, 3, 4</w:t>
            </w:r>
          </w:p>
        </w:tc>
      </w:tr>
      <w:tr w:rsidR="003E04A0" w:rsidTr="123A28D8" w14:paraId="2CA6DA1A"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RDefault="003E04A0" w14:paraId="0219134D" w14:textId="0DD8C1D7">
            <w:pPr>
              <w:pStyle w:val="TableRow"/>
              <w:rPr>
                <w:i/>
                <w:sz w:val="22"/>
              </w:rPr>
            </w:pPr>
            <w:r>
              <w:rPr>
                <w:i/>
                <w:sz w:val="22"/>
              </w:rPr>
              <w:t>Support for Early Career Teachers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P="15F14B68" w:rsidRDefault="04757497" w14:paraId="1706135E" w14:textId="12AC05D5">
            <w:pPr>
              <w:pStyle w:val="TableRowCentered"/>
              <w:jc w:val="left"/>
              <w:rPr>
                <w:sz w:val="22"/>
                <w:szCs w:val="22"/>
              </w:rPr>
            </w:pPr>
            <w:r w:rsidRPr="15F14B68">
              <w:rPr>
                <w:sz w:val="22"/>
                <w:szCs w:val="22"/>
              </w:rPr>
              <w:t>DfE</w:t>
            </w:r>
            <w:r w:rsidR="002F5D2C">
              <w:rPr>
                <w:sz w:val="22"/>
                <w:szCs w:val="22"/>
              </w:rPr>
              <w:t xml:space="preserve"> recognise the positive impact of an extended support phase for early career teachers.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RDefault="002C3061" w14:paraId="5F21BEF0" w14:textId="6818FD46">
            <w:pPr>
              <w:pStyle w:val="TableRowCentered"/>
              <w:jc w:val="left"/>
              <w:rPr>
                <w:sz w:val="22"/>
              </w:rPr>
            </w:pPr>
            <w:r>
              <w:rPr>
                <w:sz w:val="22"/>
              </w:rPr>
              <w:t>2, 3, 4</w:t>
            </w:r>
          </w:p>
        </w:tc>
      </w:tr>
      <w:tr w:rsidR="003E04A0" w:rsidTr="123A28D8" w14:paraId="1B96A5B0"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P="6CBAD0E0" w:rsidRDefault="003E04A0" w14:paraId="7EEF528B" w14:textId="6D254C94">
            <w:pPr>
              <w:pStyle w:val="TableRow"/>
              <w:rPr>
                <w:i w:val="1"/>
                <w:iCs w:val="1"/>
                <w:sz w:val="22"/>
                <w:szCs w:val="22"/>
              </w:rPr>
            </w:pPr>
            <w:r w:rsidRPr="6CBAD0E0" w:rsidR="4565E150">
              <w:rPr>
                <w:i w:val="1"/>
                <w:iCs w:val="1"/>
                <w:sz w:val="22"/>
                <w:szCs w:val="22"/>
              </w:rPr>
              <w:t xml:space="preserve">NPQs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P="15F14B68" w:rsidRDefault="002F5D2C" w14:paraId="6557AA22" w14:textId="73C011DC">
            <w:pPr>
              <w:pStyle w:val="TableRowCentered"/>
              <w:jc w:val="left"/>
              <w:rPr>
                <w:sz w:val="22"/>
                <w:szCs w:val="22"/>
              </w:rPr>
            </w:pPr>
            <w:r>
              <w:rPr>
                <w:sz w:val="22"/>
                <w:szCs w:val="22"/>
              </w:rPr>
              <w:t>Nationally recognised qualifications</w:t>
            </w:r>
          </w:p>
          <w:p w:rsidR="003E04A0" w:rsidP="15F14B68" w:rsidRDefault="11AFC197" w14:paraId="3E3EA092" w14:textId="44CC9B76">
            <w:pPr>
              <w:pStyle w:val="TableRowCentered"/>
              <w:jc w:val="left"/>
              <w:rPr>
                <w:sz w:val="22"/>
                <w:szCs w:val="22"/>
              </w:rPr>
            </w:pPr>
            <w:r w:rsidRPr="15F14B68">
              <w:rPr>
                <w:sz w:val="22"/>
                <w:szCs w:val="22"/>
              </w:rPr>
              <w:t>Statutory Requirement - DfE</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RDefault="002C3061" w14:paraId="03A2E778" w14:textId="44540AB6">
            <w:pPr>
              <w:pStyle w:val="TableRowCentered"/>
              <w:jc w:val="left"/>
              <w:rPr>
                <w:sz w:val="22"/>
              </w:rPr>
            </w:pPr>
            <w:r>
              <w:rPr>
                <w:sz w:val="22"/>
              </w:rPr>
              <w:t>2, 3, 4, 5</w:t>
            </w:r>
          </w:p>
        </w:tc>
      </w:tr>
      <w:tr w:rsidR="002C3061" w:rsidTr="123A28D8" w14:paraId="528AC0D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C3061" w:rsidRDefault="002C3061" w14:paraId="65D8033A" w14:textId="75F955D0">
            <w:pPr>
              <w:pStyle w:val="TableRow"/>
              <w:rPr>
                <w:i/>
                <w:sz w:val="22"/>
              </w:rPr>
            </w:pPr>
            <w:r>
              <w:rPr>
                <w:i/>
                <w:sz w:val="22"/>
              </w:rPr>
              <w:t xml:space="preserve">Little </w:t>
            </w:r>
            <w:proofErr w:type="spellStart"/>
            <w:r>
              <w:rPr>
                <w:i/>
                <w:sz w:val="22"/>
              </w:rPr>
              <w:t>Wandle</w:t>
            </w:r>
            <w:proofErr w:type="spellEnd"/>
            <w:r>
              <w:rPr>
                <w:i/>
                <w:sz w:val="22"/>
              </w:rPr>
              <w:t xml:space="preserve"> Phonics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662B2" w:rsidP="15F14B68" w:rsidRDefault="00F662B2" w14:paraId="50629B15" w14:textId="587053BC">
            <w:pPr>
              <w:pStyle w:val="TableRowCentered"/>
              <w:ind w:left="0"/>
              <w:jc w:val="left"/>
              <w:rPr>
                <w:sz w:val="22"/>
                <w:szCs w:val="22"/>
              </w:rPr>
            </w:pPr>
            <w:r>
              <w:rPr>
                <w:sz w:val="22"/>
                <w:szCs w:val="22"/>
              </w:rPr>
              <w:t xml:space="preserve">EEF Toolkit indicates that high quality phonics teaching has a very high positive impact. </w:t>
            </w:r>
          </w:p>
          <w:p w:rsidR="002C3061" w:rsidP="15F14B68" w:rsidRDefault="00F662B2" w14:paraId="2B00B71E" w14:textId="585AE261">
            <w:pPr>
              <w:pStyle w:val="TableRowCentered"/>
              <w:ind w:left="0"/>
              <w:jc w:val="left"/>
              <w:rPr>
                <w:sz w:val="22"/>
                <w:szCs w:val="22"/>
              </w:rPr>
            </w:pPr>
            <w:r>
              <w:rPr>
                <w:sz w:val="22"/>
                <w:szCs w:val="22"/>
              </w:rPr>
              <w:t xml:space="preserve">Little </w:t>
            </w:r>
            <w:proofErr w:type="spellStart"/>
            <w:r>
              <w:rPr>
                <w:sz w:val="22"/>
                <w:szCs w:val="22"/>
              </w:rPr>
              <w:t>Wandle</w:t>
            </w:r>
            <w:proofErr w:type="spellEnd"/>
            <w:r>
              <w:rPr>
                <w:sz w:val="22"/>
                <w:szCs w:val="22"/>
              </w:rPr>
              <w:t xml:space="preserve"> is a DfE validated scheme. </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C3061" w:rsidRDefault="002C3061" w14:paraId="557DB4B7" w14:textId="672BBF42">
            <w:pPr>
              <w:pStyle w:val="TableRowCentered"/>
              <w:jc w:val="left"/>
              <w:rPr>
                <w:sz w:val="22"/>
              </w:rPr>
            </w:pPr>
            <w:r>
              <w:rPr>
                <w:sz w:val="22"/>
              </w:rPr>
              <w:t>2</w:t>
            </w:r>
          </w:p>
        </w:tc>
      </w:tr>
      <w:tr w:rsidR="123A28D8" w:rsidTr="123A28D8" w14:paraId="71BE3BE9">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FD23418" w:rsidP="123A28D8" w:rsidRDefault="1FD23418" w14:paraId="2A76A74A" w14:textId="53073F1C">
            <w:pPr>
              <w:pStyle w:val="TableRow"/>
              <w:rPr>
                <w:i w:val="1"/>
                <w:iCs w:val="1"/>
                <w:sz w:val="22"/>
                <w:szCs w:val="22"/>
              </w:rPr>
            </w:pPr>
            <w:r w:rsidRPr="123A28D8" w:rsidR="1FD23418">
              <w:rPr>
                <w:i w:val="1"/>
                <w:iCs w:val="1"/>
                <w:sz w:val="22"/>
                <w:szCs w:val="22"/>
              </w:rPr>
              <w:t>Maths Hub Support</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FD23418" w:rsidP="123A28D8" w:rsidRDefault="1FD23418" w14:paraId="5B865579" w14:textId="7F902216">
            <w:pPr>
              <w:pStyle w:val="TableRowCentered"/>
              <w:jc w:val="left"/>
              <w:rPr>
                <w:sz w:val="22"/>
                <w:szCs w:val="22"/>
              </w:rPr>
            </w:pPr>
            <w:r w:rsidRPr="123A28D8" w:rsidR="1FD23418">
              <w:rPr>
                <w:sz w:val="22"/>
                <w:szCs w:val="22"/>
              </w:rPr>
              <w:t>EEF Toolkit indicates high quality mathematics teaching has a positive impact.</w:t>
            </w:r>
          </w:p>
          <w:p w:rsidR="123A28D8" w:rsidP="123A28D8" w:rsidRDefault="123A28D8" w14:paraId="1E55D0EF" w14:textId="3B13B0A1">
            <w:pPr>
              <w:pStyle w:val="TableRowCentered"/>
              <w:jc w:val="left"/>
              <w:rPr>
                <w:sz w:val="22"/>
                <w:szCs w:val="22"/>
              </w:rPr>
            </w:pPr>
          </w:p>
          <w:p w:rsidR="1FD23418" w:rsidP="123A28D8" w:rsidRDefault="1FD23418" w14:paraId="0665F0FE" w14:textId="3697C762">
            <w:pPr>
              <w:pStyle w:val="TableRowCentered"/>
              <w:jc w:val="left"/>
              <w:rPr>
                <w:sz w:val="22"/>
                <w:szCs w:val="22"/>
              </w:rPr>
            </w:pPr>
            <w:r w:rsidRPr="123A28D8" w:rsidR="1FD23418">
              <w:rPr>
                <w:sz w:val="22"/>
                <w:szCs w:val="22"/>
              </w:rPr>
              <w:t xml:space="preserve">NCETM are validated by the DfE. </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60A45E1" w:rsidP="123A28D8" w:rsidRDefault="660A45E1" w14:paraId="5FFDD530" w14:textId="28B7EC15">
            <w:pPr>
              <w:pStyle w:val="TableRowCentered"/>
              <w:jc w:val="left"/>
              <w:rPr>
                <w:sz w:val="22"/>
                <w:szCs w:val="22"/>
              </w:rPr>
            </w:pPr>
            <w:r w:rsidRPr="123A28D8" w:rsidR="660A45E1">
              <w:rPr>
                <w:sz w:val="22"/>
                <w:szCs w:val="22"/>
              </w:rPr>
              <w:t>3</w:t>
            </w:r>
          </w:p>
        </w:tc>
      </w:tr>
    </w:tbl>
    <w:p w:rsidR="00E66558" w:rsidRDefault="00E66558" w14:paraId="2A7D5522" w14:textId="77777777">
      <w:pPr>
        <w:keepNext/>
        <w:spacing w:after="60"/>
        <w:outlineLvl w:val="1"/>
      </w:pPr>
    </w:p>
    <w:p w:rsidR="002173A3" w:rsidRDefault="002173A3" w14:paraId="7280CAED" w14:textId="77777777">
      <w:pPr>
        <w:suppressAutoHyphens w:val="0"/>
        <w:spacing w:after="0" w:line="240" w:lineRule="auto"/>
        <w:rPr>
          <w:b/>
          <w:bCs/>
          <w:color w:val="104F75"/>
          <w:sz w:val="28"/>
          <w:szCs w:val="28"/>
        </w:rPr>
      </w:pPr>
      <w:r>
        <w:rPr>
          <w:b/>
          <w:bCs/>
          <w:color w:val="104F75"/>
          <w:sz w:val="28"/>
          <w:szCs w:val="28"/>
        </w:rPr>
        <w:br w:type="page"/>
      </w:r>
    </w:p>
    <w:p w:rsidR="00E66558" w:rsidRDefault="009D71E8" w14:paraId="2A7D5523" w14:textId="6DB276B4">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Pr="002173A3" w:rsidR="00E66558" w:rsidP="123A28D8" w:rsidRDefault="009D71E8" w14:paraId="2A7D5524" w14:textId="46C5281E">
      <w:pPr>
        <w:rPr>
          <w:i w:val="1"/>
          <w:iCs w:val="1"/>
        </w:rPr>
      </w:pPr>
      <w:r w:rsidR="009D71E8">
        <w:rPr/>
        <w:t xml:space="preserve">Budgeted cost: £ </w:t>
      </w:r>
      <w:r w:rsidRPr="123A28D8" w:rsidR="002173A3">
        <w:rPr>
          <w:i w:val="1"/>
          <w:iCs w:val="1"/>
        </w:rPr>
        <w:t>4</w:t>
      </w:r>
      <w:r w:rsidRPr="123A28D8" w:rsidR="7D1BCB7A">
        <w:rPr>
          <w:i w:val="1"/>
          <w:iCs w:val="1"/>
        </w:rPr>
        <w:t>5</w:t>
      </w:r>
      <w:r w:rsidRPr="123A28D8" w:rsidR="002173A3">
        <w:rPr>
          <w:i w:val="1"/>
          <w:iCs w:val="1"/>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15F14B68" w14:paraId="2A7D552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00E66558" w:rsidTr="15F14B68" w14:paraId="2A7D552C"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E04A0" w14:paraId="2A7D5529" w14:textId="000B0032">
            <w:pPr>
              <w:pStyle w:val="TableRow"/>
            </w:pPr>
            <w:r>
              <w:t>TAs in class</w:t>
            </w:r>
            <w:r w:rsidR="2A4496E2">
              <w:t xml:space="preserve"> to support with same day </w:t>
            </w:r>
            <w:r w:rsidR="15E00421">
              <w:t xml:space="preserve">‘keep up not catch up’ support </w:t>
            </w:r>
            <w:r w:rsidR="2A4496E2">
              <w:t>and closing specific gaps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5F14B68" w:rsidRDefault="2A4496E2" w14:paraId="0DC783A2" w14:textId="78BBAC32">
            <w:pPr>
              <w:pStyle w:val="TableRowCentered"/>
              <w:jc w:val="left"/>
              <w:rPr>
                <w:rFonts w:eastAsia="Arial" w:cs="Arial"/>
                <w:color w:val="0D0D0D" w:themeColor="text1" w:themeTint="F2"/>
                <w:sz w:val="22"/>
                <w:szCs w:val="22"/>
              </w:rPr>
            </w:pPr>
            <w:r w:rsidRPr="15F14B68">
              <w:rPr>
                <w:rFonts w:eastAsia="Arial" w:cs="Arial"/>
                <w:color w:val="0D0D0D" w:themeColor="text1" w:themeTint="F2"/>
                <w:sz w:val="22"/>
                <w:szCs w:val="22"/>
              </w:rPr>
              <w:t xml:space="preserve">DFE Maths Hub </w:t>
            </w:r>
          </w:p>
          <w:p w:rsidR="00E66558" w:rsidP="15F14B68" w:rsidRDefault="2A4496E2" w14:paraId="4B1D49C7" w14:textId="2568D23B">
            <w:pPr>
              <w:pStyle w:val="TableRowCentered"/>
              <w:jc w:val="left"/>
              <w:rPr>
                <w:rFonts w:eastAsia="Arial" w:cs="Arial"/>
                <w:color w:val="0D0D0D" w:themeColor="text1" w:themeTint="F2"/>
                <w:sz w:val="22"/>
                <w:szCs w:val="22"/>
              </w:rPr>
            </w:pPr>
            <w:r w:rsidRPr="15F14B68">
              <w:rPr>
                <w:rFonts w:eastAsia="Arial" w:cs="Arial"/>
                <w:color w:val="0D0D0D" w:themeColor="text1" w:themeTint="F2"/>
                <w:sz w:val="22"/>
                <w:szCs w:val="22"/>
              </w:rPr>
              <w:t>DFE English Hub</w:t>
            </w:r>
          </w:p>
          <w:p w:rsidR="00E66558" w:rsidP="15F14B68" w:rsidRDefault="2A4496E2" w14:paraId="2A7D552A" w14:textId="529C1012">
            <w:pPr>
              <w:pStyle w:val="TableRowCentered"/>
              <w:jc w:val="left"/>
              <w:rPr>
                <w:sz w:val="22"/>
                <w:szCs w:val="22"/>
              </w:rPr>
            </w:pPr>
            <w:r w:rsidRPr="15F14B68">
              <w:rPr>
                <w:sz w:val="22"/>
                <w:szCs w:val="22"/>
              </w:rPr>
              <w:t xml:space="preserve">EEF research – interventions </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2C3061" w14:paraId="2A7D552B" w14:textId="68F3CA29">
            <w:pPr>
              <w:pStyle w:val="TableRowCentered"/>
              <w:jc w:val="left"/>
              <w:rPr>
                <w:sz w:val="22"/>
              </w:rPr>
            </w:pPr>
            <w:r>
              <w:rPr>
                <w:sz w:val="22"/>
              </w:rPr>
              <w:t>2, 3, 5</w:t>
            </w:r>
          </w:p>
        </w:tc>
      </w:tr>
      <w:tr w:rsidR="00E66558" w:rsidTr="15F14B68" w14:paraId="2A7D5530"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2F5D2C" w14:paraId="2A7D552D" w14:textId="4A3D0768">
            <w:pPr>
              <w:pStyle w:val="TableRow"/>
              <w:rPr>
                <w:i/>
                <w:sz w:val="22"/>
              </w:rPr>
            </w:pPr>
            <w:r>
              <w:rPr>
                <w:i/>
                <w:sz w:val="22"/>
              </w:rPr>
              <w:t xml:space="preserve">Targeted, structured </w:t>
            </w:r>
            <w:r w:rsidR="003E04A0">
              <w:rPr>
                <w:i/>
                <w:sz w:val="22"/>
              </w:rPr>
              <w:t>Interventions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5F14B68" w:rsidRDefault="02117E49" w14:paraId="2A7D552E" w14:textId="06619976">
            <w:pPr>
              <w:pStyle w:val="TableRowCentered"/>
              <w:jc w:val="left"/>
              <w:rPr>
                <w:sz w:val="22"/>
                <w:szCs w:val="22"/>
              </w:rPr>
            </w:pPr>
            <w:r w:rsidRPr="15F14B68">
              <w:rPr>
                <w:sz w:val="22"/>
                <w:szCs w:val="22"/>
              </w:rPr>
              <w:t>EEF research – interventions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2C3061" w14:paraId="2A7D552F" w14:textId="55A65BB2">
            <w:pPr>
              <w:pStyle w:val="TableRowCentered"/>
              <w:jc w:val="left"/>
              <w:rPr>
                <w:sz w:val="22"/>
              </w:rPr>
            </w:pPr>
            <w:r>
              <w:rPr>
                <w:sz w:val="22"/>
              </w:rPr>
              <w:t>2, 3</w:t>
            </w:r>
          </w:p>
        </w:tc>
      </w:tr>
    </w:tbl>
    <w:p w:rsidR="00E66558" w:rsidRDefault="00E66558" w14:paraId="2A7D5531" w14:textId="77777777">
      <w:pPr>
        <w:spacing w:after="0"/>
        <w:rPr>
          <w:b/>
          <w:color w:val="104F75"/>
          <w:sz w:val="28"/>
          <w:szCs w:val="28"/>
        </w:rPr>
      </w:pPr>
    </w:p>
    <w:p w:rsidR="00E66558" w:rsidRDefault="009D71E8" w14:paraId="2A7D5532" w14:textId="59A68BC3">
      <w:pPr>
        <w:rPr>
          <w:b/>
          <w:color w:val="104F75"/>
          <w:sz w:val="28"/>
          <w:szCs w:val="28"/>
        </w:rPr>
      </w:pPr>
      <w:r>
        <w:rPr>
          <w:b/>
          <w:color w:val="104F75"/>
          <w:sz w:val="28"/>
          <w:szCs w:val="28"/>
        </w:rPr>
        <w:t>Wider strategies (for example, related to attendance, behaviour, wellbeing)</w:t>
      </w:r>
    </w:p>
    <w:p w:rsidRPr="002173A3" w:rsidR="00E66558" w:rsidP="15F14B68" w:rsidRDefault="009D71E8" w14:paraId="2A7D5533" w14:textId="383E0574">
      <w:pPr>
        <w:spacing w:before="240" w:after="120"/>
        <w:rPr>
          <w:i/>
          <w:iCs/>
        </w:rPr>
      </w:pPr>
      <w:r w:rsidRPr="002173A3">
        <w:t>Budgeted cost: £</w:t>
      </w:r>
      <w:r w:rsidRPr="002173A3" w:rsidR="002173A3">
        <w:t>25,000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15F14B68" w14:paraId="2A7D553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00E66558" w:rsidTr="15F14B68" w14:paraId="2A7D553B"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E04A0" w14:paraId="2A7D5538" w14:textId="582A7068">
            <w:pPr>
              <w:pStyle w:val="TableRow"/>
            </w:pPr>
            <w:r>
              <w:rPr>
                <w:i/>
                <w:iCs/>
                <w:sz w:val="22"/>
                <w:szCs w:val="22"/>
              </w:rPr>
              <w:t>Boxall Profile and teaching adjustments.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5F14B68" w:rsidRDefault="0FFD9FDF" w14:paraId="2A7D5539" w14:textId="30E6E259">
            <w:pPr>
              <w:pStyle w:val="TableRowCentered"/>
              <w:jc w:val="left"/>
              <w:rPr>
                <w:sz w:val="22"/>
                <w:szCs w:val="22"/>
              </w:rPr>
            </w:pPr>
            <w:r w:rsidRPr="15F14B68">
              <w:rPr>
                <w:sz w:val="22"/>
                <w:szCs w:val="22"/>
              </w:rPr>
              <w:t>Nurture UK – research based</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2C3061" w14:paraId="2A7D553A" w14:textId="371C6BEA">
            <w:pPr>
              <w:pStyle w:val="TableRowCentered"/>
              <w:jc w:val="left"/>
              <w:rPr>
                <w:sz w:val="22"/>
              </w:rPr>
            </w:pPr>
            <w:r>
              <w:rPr>
                <w:sz w:val="22"/>
              </w:rPr>
              <w:t>1, 5</w:t>
            </w:r>
          </w:p>
        </w:tc>
      </w:tr>
      <w:tr w:rsidR="00E66558" w:rsidTr="15F14B68" w14:paraId="2A7D553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E04A0" w14:paraId="2A7D553C" w14:textId="23D69FA4">
            <w:pPr>
              <w:pStyle w:val="TableRow"/>
              <w:rPr>
                <w:i/>
                <w:sz w:val="22"/>
              </w:rPr>
            </w:pPr>
            <w:r>
              <w:rPr>
                <w:i/>
                <w:sz w:val="22"/>
              </w:rPr>
              <w:t>Dedicated attendance lead time.</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5F14B68" w:rsidRDefault="7BD4D034" w14:paraId="2A7D553D" w14:textId="0832DC46">
            <w:pPr>
              <w:pStyle w:val="TableRowCentered"/>
              <w:jc w:val="left"/>
              <w:rPr>
                <w:sz w:val="22"/>
                <w:szCs w:val="22"/>
              </w:rPr>
            </w:pPr>
            <w:r w:rsidRPr="15F14B68">
              <w:rPr>
                <w:sz w:val="22"/>
                <w:szCs w:val="22"/>
              </w:rPr>
              <w:t>EEF</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2C3061" w14:paraId="2A7D553E" w14:textId="30492B12">
            <w:pPr>
              <w:pStyle w:val="TableRowCentered"/>
              <w:jc w:val="left"/>
              <w:rPr>
                <w:sz w:val="22"/>
              </w:rPr>
            </w:pPr>
            <w:r>
              <w:rPr>
                <w:sz w:val="22"/>
              </w:rPr>
              <w:t>1, 5</w:t>
            </w:r>
          </w:p>
        </w:tc>
      </w:tr>
      <w:tr w:rsidR="003E04A0" w:rsidTr="15F14B68" w14:paraId="5C9A973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RDefault="003E04A0" w14:paraId="0DB592DB" w14:textId="2E9F0A9E">
            <w:pPr>
              <w:pStyle w:val="TableRow"/>
              <w:rPr>
                <w:i/>
                <w:sz w:val="22"/>
              </w:rPr>
            </w:pPr>
            <w:r>
              <w:rPr>
                <w:i/>
                <w:sz w:val="22"/>
              </w:rPr>
              <w:t>Healthy Schools Gold, RRSA, Sports Award</w:t>
            </w:r>
          </w:p>
        </w:tc>
        <w:tc>
          <w:tcPr>
            <w:tcW w:w="4254"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747375B" w:rsidP="15F14B68" w:rsidRDefault="3747375B" w14:paraId="177DA75B" w14:textId="18D1C07D">
            <w:pPr>
              <w:pStyle w:val="TableRowCentered"/>
              <w:spacing w:line="259" w:lineRule="auto"/>
              <w:jc w:val="left"/>
              <w:rPr>
                <w:sz w:val="22"/>
                <w:szCs w:val="22"/>
              </w:rPr>
            </w:pPr>
            <w:r w:rsidRPr="15F14B68">
              <w:rPr>
                <w:sz w:val="22"/>
                <w:szCs w:val="22"/>
              </w:rPr>
              <w:t xml:space="preserve">EEF - </w:t>
            </w:r>
            <w:r w:rsidRPr="15F14B68" w:rsidR="1947F5DD">
              <w:rPr>
                <w:sz w:val="22"/>
                <w:szCs w:val="22"/>
              </w:rPr>
              <w:t>Research shows that participation in extra-curricular activities can positively impact on attainment, increase a pupil’s positive identification with school, and build self-confidence and resilience. Research also shows that children that do not have access to these opportunities fall behind, lack confidence, and fail to develop career aspirations. The resulting attainment gap is so significant that 25% of children from the most disadvantaged backgrounds achieve below expected attainment levels.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RDefault="002C3061" w14:paraId="791CB00B" w14:textId="7B61A40C">
            <w:pPr>
              <w:pStyle w:val="TableRowCentered"/>
              <w:jc w:val="left"/>
              <w:rPr>
                <w:sz w:val="22"/>
              </w:rPr>
            </w:pPr>
            <w:r>
              <w:rPr>
                <w:sz w:val="22"/>
              </w:rPr>
              <w:t>1, 5</w:t>
            </w:r>
          </w:p>
        </w:tc>
      </w:tr>
      <w:tr w:rsidR="003E04A0" w:rsidTr="15F14B68" w14:paraId="44AFC57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RDefault="003E04A0" w14:paraId="7BC07810" w14:textId="78F89E7A">
            <w:pPr>
              <w:pStyle w:val="TableRow"/>
              <w:rPr>
                <w:i/>
                <w:sz w:val="22"/>
              </w:rPr>
            </w:pPr>
            <w:r>
              <w:rPr>
                <w:i/>
                <w:sz w:val="22"/>
              </w:rPr>
              <w:t>Children’s University</w:t>
            </w:r>
          </w:p>
        </w:tc>
        <w:tc>
          <w:tcPr>
            <w:tcW w:w="4254" w:type="dxa"/>
            <w:vMerge/>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RDefault="003E04A0" w14:paraId="21CB0A88" w14:textId="77777777">
            <w:pPr>
              <w:pStyle w:val="TableRowCentered"/>
              <w:jc w:val="left"/>
              <w:rPr>
                <w:sz w:val="22"/>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RDefault="002C3061" w14:paraId="055FBBAE" w14:textId="21355736">
            <w:pPr>
              <w:pStyle w:val="TableRowCentered"/>
              <w:jc w:val="left"/>
              <w:rPr>
                <w:sz w:val="22"/>
              </w:rPr>
            </w:pPr>
            <w:r>
              <w:rPr>
                <w:sz w:val="22"/>
              </w:rPr>
              <w:t>1, 4, 5</w:t>
            </w:r>
          </w:p>
        </w:tc>
      </w:tr>
      <w:tr w:rsidR="003E04A0" w:rsidTr="15F14B68" w14:paraId="3877B62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RDefault="003E04A0" w14:paraId="027B983D" w14:textId="3C007E61">
            <w:pPr>
              <w:pStyle w:val="TableRow"/>
              <w:rPr>
                <w:i/>
                <w:sz w:val="22"/>
              </w:rPr>
            </w:pPr>
            <w:r>
              <w:rPr>
                <w:i/>
                <w:sz w:val="22"/>
              </w:rPr>
              <w:t>Funded places at breakfast/after school club</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P="15F14B68" w:rsidRDefault="4CC859FC" w14:paraId="5A8C1D1F" w14:textId="2D893DD0">
            <w:pPr>
              <w:pStyle w:val="TableRowCentered"/>
              <w:jc w:val="left"/>
              <w:rPr>
                <w:sz w:val="22"/>
                <w:szCs w:val="22"/>
              </w:rPr>
            </w:pPr>
            <w:r w:rsidRPr="15F14B68">
              <w:rPr>
                <w:sz w:val="22"/>
                <w:szCs w:val="22"/>
              </w:rPr>
              <w:t>EEF</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E04A0" w:rsidRDefault="002C3061" w14:paraId="4C461A9C" w14:textId="60FDD94C">
            <w:pPr>
              <w:pStyle w:val="TableRowCentered"/>
              <w:jc w:val="left"/>
              <w:rPr>
                <w:sz w:val="22"/>
              </w:rPr>
            </w:pPr>
            <w:r>
              <w:rPr>
                <w:sz w:val="22"/>
              </w:rPr>
              <w:t>1, 4, 5</w:t>
            </w:r>
          </w:p>
        </w:tc>
      </w:tr>
    </w:tbl>
    <w:p w:rsidRPr="002173A3" w:rsidR="00E66558" w:rsidP="15F14B68" w:rsidRDefault="009D71E8" w14:paraId="2A7D5541" w14:textId="053C3FEF">
      <w:pPr>
        <w:rPr>
          <w:i/>
          <w:iCs/>
          <w:color w:val="104F75"/>
          <w:sz w:val="28"/>
          <w:szCs w:val="28"/>
        </w:rPr>
      </w:pPr>
      <w:r w:rsidRPr="002173A3">
        <w:rPr>
          <w:b/>
          <w:bCs/>
          <w:color w:val="104F75"/>
          <w:sz w:val="28"/>
          <w:szCs w:val="28"/>
        </w:rPr>
        <w:t>Total budgeted cost: £</w:t>
      </w:r>
      <w:r w:rsidRPr="002173A3" w:rsidR="002173A3">
        <w:rPr>
          <w:i/>
          <w:iCs/>
          <w:color w:val="104F75"/>
          <w:sz w:val="28"/>
          <w:szCs w:val="28"/>
        </w:rPr>
        <w:t>75,000</w:t>
      </w:r>
    </w:p>
    <w:tbl>
      <w:tblPr>
        <w:tblW w:w="9938" w:type="dxa"/>
        <w:tblCellMar>
          <w:left w:w="10" w:type="dxa"/>
          <w:right w:w="10" w:type="dxa"/>
        </w:tblCellMar>
        <w:tblLook w:val="04A0" w:firstRow="1" w:lastRow="0" w:firstColumn="1" w:lastColumn="0" w:noHBand="0" w:noVBand="1"/>
      </w:tblPr>
      <w:tblGrid>
        <w:gridCol w:w="9938"/>
      </w:tblGrid>
      <w:tr w:rsidR="00E66558" w:rsidTr="6CBAD0E0" w14:paraId="2A7D5547" w14:textId="77777777">
        <w:trPr>
          <w:trHeight w:val="1102"/>
        </w:trPr>
        <w:tc>
          <w:tcPr>
            <w:tcW w:w="99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14213" w:rsidP="00314213" w:rsidRDefault="009D71E8" w14:paraId="0A9F62B4" w14:textId="77777777">
            <w:pPr>
              <w:pStyle w:val="Heading2"/>
              <w:spacing w:before="0" w:after="0"/>
            </w:pPr>
            <w:r>
              <w:lastRenderedPageBreak/>
              <w:t>Part B: Review of outcomes in the previous academic year</w:t>
            </w:r>
          </w:p>
          <w:p w:rsidR="002173A3" w:rsidP="00314213" w:rsidRDefault="00314213" w14:paraId="0CC02ADB" w14:textId="4E6B6F73">
            <w:pPr>
              <w:pStyle w:val="Heading2"/>
              <w:spacing w:before="0" w:after="0"/>
              <w:rPr>
                <w:sz w:val="24"/>
                <w:szCs w:val="24"/>
              </w:rPr>
            </w:pPr>
            <w:r>
              <w:rPr>
                <w:sz w:val="24"/>
                <w:szCs w:val="24"/>
              </w:rPr>
              <w:t>T</w:t>
            </w:r>
            <w:r w:rsidR="002173A3">
              <w:rPr>
                <w:sz w:val="24"/>
                <w:szCs w:val="24"/>
              </w:rPr>
              <w:t>argeted academic support for current academic year</w:t>
            </w:r>
          </w:p>
          <w:tbl>
            <w:tblPr>
              <w:tblW w:w="9712" w:type="dxa"/>
              <w:tblCellMar>
                <w:left w:w="10" w:type="dxa"/>
                <w:right w:w="10" w:type="dxa"/>
              </w:tblCellMar>
              <w:tblLook w:val="04A0" w:firstRow="1" w:lastRow="0" w:firstColumn="1" w:lastColumn="0" w:noHBand="0" w:noVBand="1"/>
            </w:tblPr>
            <w:tblGrid>
              <w:gridCol w:w="2470"/>
              <w:gridCol w:w="3450"/>
              <w:gridCol w:w="3792"/>
            </w:tblGrid>
            <w:tr w:rsidR="002173A3" w:rsidTr="6CBAD0E0" w14:paraId="1535E04F" w14:textId="77777777">
              <w:tblPrEx>
                <w:tblCellMar>
                  <w:top w:w="0" w:type="dxa"/>
                  <w:bottom w:w="0" w:type="dxa"/>
                </w:tblCellMar>
              </w:tblPrEx>
              <w:trPr>
                <w:trHeight w:val="381"/>
              </w:trPr>
              <w:tc>
                <w:tcPr>
                  <w:tcW w:w="24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2173A3" w:rsidP="002173A3" w:rsidRDefault="002173A3" w14:paraId="4338CA8E" w14:textId="77777777">
                  <w:pPr>
                    <w:pStyle w:val="TableRow"/>
                  </w:pPr>
                  <w:r>
                    <w:rPr>
                      <w:rFonts w:ascii="Garamond" w:hAnsi="Garamond"/>
                      <w:b/>
                    </w:rPr>
                    <w:t>Measure</w:t>
                  </w:r>
                </w:p>
              </w:tc>
              <w:tc>
                <w:tcPr>
                  <w:tcW w:w="3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002173A3" w:rsidP="002173A3" w:rsidRDefault="002173A3" w14:paraId="74BF8FDC" w14:textId="77777777">
                  <w:pPr>
                    <w:pStyle w:val="TableRow"/>
                  </w:pPr>
                  <w:r>
                    <w:rPr>
                      <w:rFonts w:ascii="Garamond" w:hAnsi="Garamond"/>
                      <w:b/>
                    </w:rPr>
                    <w:t>Activity</w:t>
                  </w:r>
                </w:p>
              </w:tc>
              <w:tc>
                <w:tcPr>
                  <w:tcW w:w="37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 w:type="dxa"/>
                    <w:bottom w:w="0" w:type="dxa"/>
                    <w:right w:w="10" w:type="dxa"/>
                  </w:tcMar>
                </w:tcPr>
                <w:p w:rsidR="002173A3" w:rsidP="002173A3" w:rsidRDefault="002173A3" w14:paraId="73FEE8CC" w14:textId="77777777">
                  <w:pPr>
                    <w:pStyle w:val="TableRow"/>
                    <w:rPr>
                      <w:rFonts w:ascii="Garamond" w:hAnsi="Garamond"/>
                      <w:b/>
                    </w:rPr>
                  </w:pPr>
                  <w:r>
                    <w:rPr>
                      <w:rFonts w:ascii="Garamond" w:hAnsi="Garamond"/>
                      <w:b/>
                    </w:rPr>
                    <w:t>Review</w:t>
                  </w:r>
                </w:p>
              </w:tc>
            </w:tr>
            <w:tr w:rsidR="002173A3" w:rsidTr="6CBAD0E0" w14:paraId="69E8A952" w14:textId="77777777">
              <w:tblPrEx>
                <w:tblCellMar>
                  <w:top w:w="0" w:type="dxa"/>
                  <w:bottom w:w="0" w:type="dxa"/>
                </w:tblCellMar>
              </w:tblPrEx>
              <w:trPr>
                <w:trHeight w:val="381"/>
              </w:trPr>
              <w:tc>
                <w:tcPr>
                  <w:tcW w:w="24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Pr="002173A3" w:rsidR="002173A3" w:rsidP="002173A3" w:rsidRDefault="002173A3" w14:paraId="4EEAF676" w14:textId="77777777">
                  <w:pPr>
                    <w:pStyle w:val="TableRow"/>
                    <w:rPr>
                      <w:rFonts w:ascii="Garamond" w:hAnsi="Garamond" w:cs="Calibri"/>
                      <w:color w:val="auto"/>
                    </w:rPr>
                  </w:pPr>
                  <w:r w:rsidRPr="002173A3">
                    <w:rPr>
                      <w:rFonts w:ascii="Garamond" w:hAnsi="Garamond" w:cs="Calibri"/>
                      <w:color w:val="auto"/>
                    </w:rPr>
                    <w:t>Priority 1</w:t>
                  </w:r>
                </w:p>
              </w:tc>
              <w:tc>
                <w:tcPr>
                  <w:tcW w:w="3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Pr="002173A3" w:rsidR="002173A3" w:rsidP="6CBAD0E0" w:rsidRDefault="002173A3" w14:paraId="5F59305B" w14:textId="14A07946">
                  <w:pPr>
                    <w:pStyle w:val="TableRow"/>
                    <w:rPr>
                      <w:color w:val="auto"/>
                    </w:rPr>
                  </w:pPr>
                  <w:r w:rsidRPr="6CBAD0E0" w:rsidR="002173A3">
                    <w:rPr>
                      <w:rStyle w:val="PlaceholderText"/>
                      <w:rFonts w:ascii="Garamond" w:hAnsi="Garamond"/>
                      <w:color w:val="auto"/>
                    </w:rPr>
                    <w:t xml:space="preserve"> </w:t>
                  </w:r>
                  <w:r w:rsidRPr="6CBAD0E0" w:rsidR="7C2526A3">
                    <w:rPr>
                      <w:rStyle w:val="PlaceholderText"/>
                      <w:rFonts w:ascii="Garamond" w:hAnsi="Garamond"/>
                      <w:color w:val="auto"/>
                    </w:rPr>
                    <w:t>Balance tool was introduced and showed impact in the core subject areas. Implementation was slower than planned due to Covid 19 school closures.</w:t>
                  </w:r>
                </w:p>
                <w:p w:rsidRPr="002173A3" w:rsidR="002173A3" w:rsidP="002173A3" w:rsidRDefault="002173A3" w14:paraId="26FDFCD0" w14:textId="5908FC15">
                  <w:pPr>
                    <w:pStyle w:val="TableRow"/>
                    <w:rPr>
                      <w:color w:val="auto"/>
                    </w:rPr>
                  </w:pPr>
                  <w:r w:rsidRPr="6CBAD0E0" w:rsidR="7C2526A3">
                    <w:rPr>
                      <w:rStyle w:val="PlaceholderText"/>
                      <w:rFonts w:ascii="Garamond" w:hAnsi="Garamond"/>
                      <w:color w:val="auto"/>
                    </w:rPr>
                    <w:t>Through RAP meetings, precisely focussed teaching techniques were planned for summer term which accelerated learning.</w:t>
                  </w:r>
                </w:p>
              </w:tc>
              <w:tc>
                <w:tcPr>
                  <w:tcW w:w="37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 w:type="dxa"/>
                    <w:bottom w:w="0" w:type="dxa"/>
                    <w:right w:w="10" w:type="dxa"/>
                  </w:tcMar>
                </w:tcPr>
                <w:p w:rsidRPr="002173A3" w:rsidR="002173A3" w:rsidP="002173A3" w:rsidRDefault="002173A3" w14:paraId="78D87945" w14:textId="6E18F0E3">
                  <w:pPr>
                    <w:pStyle w:val="TableRow"/>
                    <w:rPr>
                      <w:color w:val="auto"/>
                    </w:rPr>
                  </w:pPr>
                  <w:r w:rsidRPr="002173A3">
                    <w:rPr>
                      <w:rStyle w:val="PlaceholderText"/>
                      <w:rFonts w:ascii="Garamond" w:hAnsi="Garamond"/>
                      <w:color w:val="auto"/>
                    </w:rPr>
                    <w:t xml:space="preserve">Balance tool </w:t>
                  </w:r>
                  <w:r w:rsidRPr="002173A3">
                    <w:rPr>
                      <w:rStyle w:val="PlaceholderText"/>
                      <w:rFonts w:ascii="Garamond" w:hAnsi="Garamond"/>
                      <w:color w:val="auto"/>
                    </w:rPr>
                    <w:t>was</w:t>
                  </w:r>
                  <w:r w:rsidRPr="002173A3">
                    <w:rPr>
                      <w:rStyle w:val="PlaceholderText"/>
                      <w:rFonts w:ascii="Garamond" w:hAnsi="Garamond"/>
                      <w:color w:val="auto"/>
                    </w:rPr>
                    <w:t xml:space="preserve"> introduced and </w:t>
                  </w:r>
                  <w:r w:rsidRPr="002173A3">
                    <w:rPr>
                      <w:rStyle w:val="PlaceholderText"/>
                      <w:rFonts w:ascii="Garamond" w:hAnsi="Garamond"/>
                      <w:color w:val="auto"/>
                    </w:rPr>
                    <w:t>showed impact in the core subject areas.</w:t>
                  </w:r>
                  <w:r w:rsidRPr="002173A3">
                    <w:rPr>
                      <w:rStyle w:val="PlaceholderText"/>
                      <w:rFonts w:ascii="Garamond" w:hAnsi="Garamond"/>
                      <w:color w:val="auto"/>
                    </w:rPr>
                    <w:t xml:space="preserve"> Implementation </w:t>
                  </w:r>
                  <w:r w:rsidRPr="002173A3">
                    <w:rPr>
                      <w:rStyle w:val="PlaceholderText"/>
                      <w:rFonts w:ascii="Garamond" w:hAnsi="Garamond"/>
                      <w:color w:val="auto"/>
                    </w:rPr>
                    <w:t>was</w:t>
                  </w:r>
                  <w:r w:rsidRPr="002173A3">
                    <w:rPr>
                      <w:rStyle w:val="PlaceholderText"/>
                      <w:rFonts w:ascii="Garamond" w:hAnsi="Garamond"/>
                      <w:color w:val="auto"/>
                    </w:rPr>
                    <w:t xml:space="preserve"> slower than planned due to </w:t>
                  </w:r>
                  <w:proofErr w:type="spellStart"/>
                  <w:r w:rsidRPr="002173A3">
                    <w:rPr>
                      <w:rStyle w:val="PlaceholderText"/>
                      <w:rFonts w:ascii="Garamond" w:hAnsi="Garamond"/>
                      <w:color w:val="auto"/>
                    </w:rPr>
                    <w:t>Covid</w:t>
                  </w:r>
                  <w:proofErr w:type="spellEnd"/>
                  <w:r w:rsidRPr="002173A3">
                    <w:rPr>
                      <w:rStyle w:val="PlaceholderText"/>
                      <w:rFonts w:ascii="Garamond" w:hAnsi="Garamond"/>
                      <w:color w:val="auto"/>
                    </w:rPr>
                    <w:t xml:space="preserve"> 19 school closures.</w:t>
                  </w:r>
                </w:p>
                <w:p w:rsidRPr="002173A3" w:rsidR="002173A3" w:rsidP="002173A3" w:rsidRDefault="002173A3" w14:paraId="657F90F3" w14:textId="7620A2A0">
                  <w:pPr>
                    <w:pStyle w:val="TableRow"/>
                    <w:rPr>
                      <w:color w:val="auto"/>
                    </w:rPr>
                  </w:pPr>
                  <w:r w:rsidRPr="002173A3">
                    <w:rPr>
                      <w:rStyle w:val="PlaceholderText"/>
                      <w:rFonts w:ascii="Garamond" w:hAnsi="Garamond"/>
                      <w:color w:val="auto"/>
                    </w:rPr>
                    <w:t xml:space="preserve">Through RAP meetings, precisely focussed teaching techniques </w:t>
                  </w:r>
                  <w:r w:rsidRPr="002173A3">
                    <w:rPr>
                      <w:rStyle w:val="PlaceholderText"/>
                      <w:rFonts w:ascii="Garamond" w:hAnsi="Garamond"/>
                      <w:color w:val="auto"/>
                    </w:rPr>
                    <w:t>were</w:t>
                  </w:r>
                  <w:r w:rsidRPr="002173A3">
                    <w:rPr>
                      <w:rStyle w:val="PlaceholderText"/>
                      <w:rFonts w:ascii="Garamond" w:hAnsi="Garamond"/>
                      <w:color w:val="auto"/>
                    </w:rPr>
                    <w:t xml:space="preserve"> planned for summer term</w:t>
                  </w:r>
                  <w:r w:rsidRPr="002173A3">
                    <w:rPr>
                      <w:rStyle w:val="PlaceholderText"/>
                      <w:rFonts w:ascii="Garamond" w:hAnsi="Garamond"/>
                      <w:color w:val="auto"/>
                    </w:rPr>
                    <w:t xml:space="preserve"> which accelerated learning. </w:t>
                  </w:r>
                </w:p>
              </w:tc>
            </w:tr>
            <w:tr w:rsidR="002173A3" w:rsidTr="6CBAD0E0" w14:paraId="615B629D" w14:textId="77777777">
              <w:tblPrEx>
                <w:tblCellMar>
                  <w:top w:w="0" w:type="dxa"/>
                  <w:bottom w:w="0" w:type="dxa"/>
                </w:tblCellMar>
              </w:tblPrEx>
              <w:trPr>
                <w:trHeight w:val="381"/>
              </w:trPr>
              <w:tc>
                <w:tcPr>
                  <w:tcW w:w="24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Pr="002173A3" w:rsidR="002173A3" w:rsidP="002173A3" w:rsidRDefault="002173A3" w14:paraId="1DB48FF9" w14:textId="77777777">
                  <w:pPr>
                    <w:pStyle w:val="TableRow"/>
                    <w:rPr>
                      <w:rFonts w:ascii="Garamond" w:hAnsi="Garamond" w:cs="Calibri"/>
                      <w:color w:val="auto"/>
                    </w:rPr>
                  </w:pPr>
                  <w:r w:rsidRPr="002173A3">
                    <w:rPr>
                      <w:rFonts w:ascii="Garamond" w:hAnsi="Garamond" w:cs="Calibri"/>
                      <w:color w:val="auto"/>
                    </w:rPr>
                    <w:t>Priority 2</w:t>
                  </w:r>
                </w:p>
              </w:tc>
              <w:tc>
                <w:tcPr>
                  <w:tcW w:w="3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Pr="002173A3" w:rsidR="002173A3" w:rsidP="002173A3" w:rsidRDefault="002173A3" w14:paraId="33040D7D" w14:textId="77777777">
                  <w:pPr>
                    <w:pStyle w:val="TableRow"/>
                    <w:rPr>
                      <w:rFonts w:ascii="Garamond" w:hAnsi="Garamond"/>
                      <w:color w:val="auto"/>
                    </w:rPr>
                  </w:pPr>
                  <w:r w:rsidRPr="002173A3">
                    <w:rPr>
                      <w:rFonts w:ascii="Garamond" w:hAnsi="Garamond"/>
                      <w:color w:val="auto"/>
                    </w:rPr>
                    <w:t xml:space="preserve">Work with the Ed Tech Partnership (Grimsby Institute) to develop a </w:t>
                  </w:r>
                  <w:proofErr w:type="gramStart"/>
                  <w:r w:rsidRPr="002173A3">
                    <w:rPr>
                      <w:rFonts w:ascii="Garamond" w:hAnsi="Garamond"/>
                      <w:color w:val="auto"/>
                    </w:rPr>
                    <w:t>high quality</w:t>
                  </w:r>
                  <w:proofErr w:type="gramEnd"/>
                  <w:r w:rsidRPr="002173A3">
                    <w:rPr>
                      <w:rFonts w:ascii="Garamond" w:hAnsi="Garamond"/>
                      <w:color w:val="auto"/>
                    </w:rPr>
                    <w:t xml:space="preserve"> approach to using digital technology to innovate classroom teaching and provide blended/home learning when needed.</w:t>
                  </w:r>
                </w:p>
              </w:tc>
              <w:tc>
                <w:tcPr>
                  <w:tcW w:w="37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 w:type="dxa"/>
                    <w:bottom w:w="0" w:type="dxa"/>
                    <w:right w:w="10" w:type="dxa"/>
                  </w:tcMar>
                </w:tcPr>
                <w:p w:rsidRPr="002173A3" w:rsidR="002173A3" w:rsidP="002173A3" w:rsidRDefault="002173A3" w14:paraId="3D863992" w14:textId="77777777">
                  <w:pPr>
                    <w:pStyle w:val="TableRow"/>
                    <w:rPr>
                      <w:rFonts w:ascii="Garamond" w:hAnsi="Garamond"/>
                      <w:color w:val="auto"/>
                    </w:rPr>
                  </w:pPr>
                  <w:r w:rsidRPr="002173A3">
                    <w:rPr>
                      <w:rFonts w:ascii="Garamond" w:hAnsi="Garamond"/>
                      <w:color w:val="auto"/>
                    </w:rPr>
                    <w:t xml:space="preserve">The school’s remote learning offer was very high quality and had a positive impact on pupil progress. Digital technology is now used regularly within the classrooms to improve pupil engagement, participation and accessibility. </w:t>
                  </w:r>
                </w:p>
              </w:tc>
            </w:tr>
            <w:tr w:rsidR="002173A3" w:rsidTr="6CBAD0E0" w14:paraId="55694413" w14:textId="77777777">
              <w:tblPrEx>
                <w:tblCellMar>
                  <w:top w:w="0" w:type="dxa"/>
                  <w:bottom w:w="0" w:type="dxa"/>
                </w:tblCellMar>
              </w:tblPrEx>
              <w:trPr>
                <w:trHeight w:val="381"/>
              </w:trPr>
              <w:tc>
                <w:tcPr>
                  <w:tcW w:w="24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Pr="002173A3" w:rsidR="002173A3" w:rsidP="002173A3" w:rsidRDefault="002173A3" w14:paraId="09E3134E" w14:textId="77777777">
                  <w:pPr>
                    <w:pStyle w:val="TableRow"/>
                    <w:rPr>
                      <w:rFonts w:ascii="Garamond" w:hAnsi="Garamond" w:cs="Calibri"/>
                      <w:color w:val="auto"/>
                    </w:rPr>
                  </w:pPr>
                  <w:r w:rsidRPr="002173A3">
                    <w:rPr>
                      <w:rFonts w:ascii="Garamond" w:hAnsi="Garamond" w:cs="Calibri"/>
                      <w:color w:val="auto"/>
                    </w:rPr>
                    <w:t>Barriers to learning these priorities address</w:t>
                  </w:r>
                </w:p>
              </w:tc>
              <w:tc>
                <w:tcPr>
                  <w:tcW w:w="34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8" w:type="dxa"/>
                    <w:bottom w:w="0" w:type="dxa"/>
                    <w:right w:w="108" w:type="dxa"/>
                  </w:tcMar>
                </w:tcPr>
                <w:p w:rsidRPr="002173A3" w:rsidR="002173A3" w:rsidP="002173A3" w:rsidRDefault="002173A3" w14:paraId="67684AE2" w14:textId="77777777">
                  <w:pPr>
                    <w:pStyle w:val="TableRow"/>
                    <w:rPr>
                      <w:color w:val="auto"/>
                    </w:rPr>
                  </w:pPr>
                  <w:r w:rsidRPr="002173A3">
                    <w:rPr>
                      <w:rStyle w:val="PlaceholderText"/>
                      <w:rFonts w:ascii="Garamond" w:hAnsi="Garamond"/>
                      <w:color w:val="auto"/>
                    </w:rPr>
                    <w:t>Ensuring that staff work/life balance is maintained whilst introducing new initiatives in challenging circumstances.</w:t>
                  </w:r>
                </w:p>
              </w:tc>
              <w:tc>
                <w:tcPr>
                  <w:tcW w:w="37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Mar>
                    <w:top w:w="0" w:type="dxa"/>
                    <w:left w:w="10" w:type="dxa"/>
                    <w:bottom w:w="0" w:type="dxa"/>
                    <w:right w:w="10" w:type="dxa"/>
                  </w:tcMar>
                </w:tcPr>
                <w:p w:rsidRPr="002173A3" w:rsidR="002173A3" w:rsidP="002173A3" w:rsidRDefault="002173A3" w14:paraId="270DBF1B" w14:textId="77777777">
                  <w:pPr>
                    <w:pStyle w:val="TableRow"/>
                    <w:rPr>
                      <w:color w:val="auto"/>
                    </w:rPr>
                  </w:pPr>
                  <w:r w:rsidRPr="002173A3">
                    <w:rPr>
                      <w:rStyle w:val="PlaceholderText"/>
                      <w:rFonts w:ascii="Garamond" w:hAnsi="Garamond"/>
                      <w:color w:val="auto"/>
                    </w:rPr>
                    <w:t xml:space="preserve">Staff well-being surveys show that staff feel well supported by the school and that additional workload is offset with well-being strategies. </w:t>
                  </w:r>
                </w:p>
              </w:tc>
            </w:tr>
          </w:tbl>
          <w:p w:rsidR="002173A3" w:rsidP="002173A3" w:rsidRDefault="002173A3" w14:paraId="07A42D65" w14:textId="77777777">
            <w:pPr>
              <w:pStyle w:val="Heading2"/>
              <w:rPr>
                <w:sz w:val="24"/>
                <w:szCs w:val="24"/>
              </w:rPr>
            </w:pPr>
            <w:r>
              <w:rPr>
                <w:sz w:val="24"/>
                <w:szCs w:val="24"/>
              </w:rPr>
              <w:t>Wider strategies for current academic year</w:t>
            </w:r>
          </w:p>
          <w:tbl>
            <w:tblPr>
              <w:tblW w:w="9712" w:type="dxa"/>
              <w:tblCellMar>
                <w:left w:w="10" w:type="dxa"/>
                <w:right w:w="10" w:type="dxa"/>
              </w:tblCellMar>
              <w:tblLook w:val="04A0" w:firstRow="1" w:lastRow="0" w:firstColumn="1" w:lastColumn="0" w:noHBand="0" w:noVBand="1"/>
            </w:tblPr>
            <w:tblGrid>
              <w:gridCol w:w="2455"/>
              <w:gridCol w:w="3465"/>
              <w:gridCol w:w="3792"/>
            </w:tblGrid>
            <w:tr w:rsidR="002173A3" w:rsidTr="000771FD" w14:paraId="6BEBA4BA" w14:textId="77777777">
              <w:tblPrEx>
                <w:tblCellMar>
                  <w:top w:w="0" w:type="dxa"/>
                  <w:bottom w:w="0" w:type="dxa"/>
                </w:tblCellMar>
              </w:tblPrEx>
              <w:tc>
                <w:tcPr>
                  <w:tcW w:w="24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173A3" w:rsidP="002173A3" w:rsidRDefault="002173A3" w14:paraId="406E3709" w14:textId="77777777">
                  <w:pPr>
                    <w:pStyle w:val="TableRow"/>
                    <w:rPr>
                      <w:rFonts w:ascii="Garamond" w:hAnsi="Garamond"/>
                      <w:b/>
                    </w:rPr>
                  </w:pPr>
                  <w:r>
                    <w:rPr>
                      <w:rFonts w:ascii="Garamond" w:hAnsi="Garamond"/>
                      <w:b/>
                    </w:rPr>
                    <w:t>Measure</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173A3" w:rsidP="002173A3" w:rsidRDefault="002173A3" w14:paraId="5F4228B6" w14:textId="77777777">
                  <w:pPr>
                    <w:pStyle w:val="TableRow"/>
                    <w:rPr>
                      <w:rFonts w:ascii="Garamond" w:hAnsi="Garamond"/>
                      <w:b/>
                    </w:rPr>
                  </w:pPr>
                  <w:r>
                    <w:rPr>
                      <w:rFonts w:ascii="Garamond" w:hAnsi="Garamond"/>
                      <w:b/>
                    </w:rPr>
                    <w:t>Activity</w:t>
                  </w:r>
                </w:p>
              </w:tc>
              <w:tc>
                <w:tcPr>
                  <w:tcW w:w="379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002173A3" w:rsidP="002173A3" w:rsidRDefault="002173A3" w14:paraId="0820C329" w14:textId="77777777">
                  <w:pPr>
                    <w:pStyle w:val="TableRow"/>
                    <w:rPr>
                      <w:rFonts w:ascii="Garamond" w:hAnsi="Garamond"/>
                      <w:b/>
                    </w:rPr>
                  </w:pPr>
                  <w:r>
                    <w:rPr>
                      <w:rFonts w:ascii="Garamond" w:hAnsi="Garamond"/>
                      <w:b/>
                    </w:rPr>
                    <w:t>April Review</w:t>
                  </w:r>
                </w:p>
              </w:tc>
            </w:tr>
            <w:tr w:rsidR="002173A3" w:rsidTr="00314213" w14:paraId="65763DDB" w14:textId="77777777">
              <w:tblPrEx>
                <w:tblCellMar>
                  <w:top w:w="0" w:type="dxa"/>
                  <w:bottom w:w="0" w:type="dxa"/>
                </w:tblCellMar>
              </w:tblPrEx>
              <w:tc>
                <w:tcPr>
                  <w:tcW w:w="24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314213" w:rsidR="002173A3" w:rsidP="002173A3" w:rsidRDefault="002173A3" w14:paraId="4A1B738C" w14:textId="77777777">
                  <w:pPr>
                    <w:pStyle w:val="TableRow"/>
                    <w:ind w:left="0"/>
                    <w:rPr>
                      <w:rFonts w:ascii="Garamond" w:hAnsi="Garamond" w:cs="Calibri"/>
                      <w:color w:val="auto"/>
                    </w:rPr>
                  </w:pPr>
                  <w:r w:rsidRPr="00314213">
                    <w:rPr>
                      <w:rFonts w:ascii="Garamond" w:hAnsi="Garamond" w:cs="Calibri"/>
                      <w:color w:val="auto"/>
                    </w:rPr>
                    <w:t>Priority 1</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14213" w:rsidR="002173A3" w:rsidP="002173A3" w:rsidRDefault="002173A3" w14:paraId="1A2CA4FE" w14:textId="77777777">
                  <w:pPr>
                    <w:pStyle w:val="TableRow"/>
                    <w:ind w:left="0"/>
                    <w:rPr>
                      <w:rFonts w:ascii="Garamond" w:hAnsi="Garamond"/>
                      <w:color w:val="auto"/>
                    </w:rPr>
                  </w:pPr>
                  <w:r w:rsidRPr="00314213">
                    <w:rPr>
                      <w:rFonts w:ascii="Garamond" w:hAnsi="Garamond"/>
                      <w:color w:val="auto"/>
                    </w:rPr>
                    <w:t xml:space="preserve">Sustain and increase working hours of attendance lead in order to improve attendance of disadvantaged children and improve pastoral/parental support. </w:t>
                  </w:r>
                </w:p>
              </w:tc>
              <w:tc>
                <w:tcPr>
                  <w:tcW w:w="379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314213" w:rsidR="002173A3" w:rsidP="002173A3" w:rsidRDefault="002173A3" w14:paraId="3DC263AA" w14:textId="77777777">
                  <w:pPr>
                    <w:pStyle w:val="TableRow"/>
                    <w:ind w:left="0"/>
                    <w:rPr>
                      <w:rFonts w:ascii="Garamond" w:hAnsi="Garamond"/>
                      <w:color w:val="auto"/>
                    </w:rPr>
                  </w:pPr>
                  <w:r w:rsidRPr="00314213">
                    <w:rPr>
                      <w:rFonts w:ascii="Garamond" w:hAnsi="Garamond"/>
                      <w:color w:val="auto"/>
                    </w:rPr>
                    <w:t>Now referred to as the ‘Attendance and Engagement Lead’, this role has been invaluable during school closures and as children return. Attendance since schools reopened has been strong with numerous strategies in place to sustain and improve this further.</w:t>
                  </w:r>
                </w:p>
              </w:tc>
            </w:tr>
            <w:tr w:rsidR="002173A3" w:rsidTr="00314213" w14:paraId="1EBBBFE2" w14:textId="77777777">
              <w:tblPrEx>
                <w:tblCellMar>
                  <w:top w:w="0" w:type="dxa"/>
                  <w:bottom w:w="0" w:type="dxa"/>
                </w:tblCellMar>
              </w:tblPrEx>
              <w:tc>
                <w:tcPr>
                  <w:tcW w:w="24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314213" w:rsidR="002173A3" w:rsidP="002173A3" w:rsidRDefault="002173A3" w14:paraId="042FF73E" w14:textId="77777777">
                  <w:pPr>
                    <w:pStyle w:val="TableRow"/>
                    <w:ind w:left="0"/>
                    <w:rPr>
                      <w:rFonts w:ascii="Garamond" w:hAnsi="Garamond" w:cs="Calibri"/>
                      <w:color w:val="auto"/>
                    </w:rPr>
                  </w:pPr>
                  <w:r w:rsidRPr="00314213">
                    <w:rPr>
                      <w:rFonts w:ascii="Garamond" w:hAnsi="Garamond" w:cs="Calibri"/>
                      <w:color w:val="auto"/>
                    </w:rPr>
                    <w:t>Priority 2</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14213" w:rsidR="002173A3" w:rsidP="002173A3" w:rsidRDefault="002173A3" w14:paraId="3F2CC297" w14:textId="77777777">
                  <w:pPr>
                    <w:pStyle w:val="TableRow"/>
                    <w:ind w:left="0"/>
                    <w:rPr>
                      <w:rFonts w:ascii="Garamond" w:hAnsi="Garamond"/>
                      <w:color w:val="auto"/>
                    </w:rPr>
                  </w:pPr>
                  <w:r w:rsidRPr="00314213">
                    <w:rPr>
                      <w:rFonts w:ascii="Garamond" w:hAnsi="Garamond"/>
                      <w:color w:val="auto"/>
                    </w:rPr>
                    <w:t>Increase the school’s capacity to support children’s mental health and well-being through training, support and resources.</w:t>
                  </w:r>
                </w:p>
              </w:tc>
              <w:tc>
                <w:tcPr>
                  <w:tcW w:w="379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314213" w:rsidR="002173A3" w:rsidP="002173A3" w:rsidRDefault="002173A3" w14:paraId="3331F61F" w14:textId="1F58E62A">
                  <w:pPr>
                    <w:pStyle w:val="TableRow"/>
                    <w:ind w:left="0"/>
                    <w:rPr>
                      <w:rFonts w:ascii="Garamond" w:hAnsi="Garamond"/>
                      <w:color w:val="auto"/>
                    </w:rPr>
                  </w:pPr>
                  <w:r w:rsidRPr="00314213">
                    <w:rPr>
                      <w:rFonts w:ascii="Garamond" w:hAnsi="Garamond"/>
                      <w:color w:val="auto"/>
                    </w:rPr>
                    <w:t xml:space="preserve">The school has provided weekly well-being support throughout school closures and now reopening. The school has committed to significant training through Nurture UK </w:t>
                  </w:r>
                  <w:r w:rsidRPr="00314213" w:rsidR="00314213">
                    <w:rPr>
                      <w:rFonts w:ascii="Garamond" w:hAnsi="Garamond"/>
                      <w:color w:val="auto"/>
                    </w:rPr>
                    <w:t xml:space="preserve">throughout the summer term and into the next academic year. </w:t>
                  </w:r>
                </w:p>
              </w:tc>
            </w:tr>
            <w:tr w:rsidR="002173A3" w:rsidTr="000771FD" w14:paraId="54E12D04" w14:textId="77777777">
              <w:tblPrEx>
                <w:tblCellMar>
                  <w:top w:w="0" w:type="dxa"/>
                  <w:bottom w:w="0" w:type="dxa"/>
                </w:tblCellMar>
              </w:tblPrEx>
              <w:tc>
                <w:tcPr>
                  <w:tcW w:w="24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314213" w:rsidR="002173A3" w:rsidP="002173A3" w:rsidRDefault="002173A3" w14:paraId="23BCF28E" w14:textId="77777777">
                  <w:pPr>
                    <w:pStyle w:val="TableRow"/>
                    <w:ind w:left="0"/>
                    <w:rPr>
                      <w:rFonts w:ascii="Garamond" w:hAnsi="Garamond" w:cs="Calibri"/>
                      <w:color w:val="auto"/>
                    </w:rPr>
                  </w:pPr>
                  <w:r w:rsidRPr="00314213">
                    <w:rPr>
                      <w:rFonts w:ascii="Garamond" w:hAnsi="Garamond" w:cs="Calibri"/>
                      <w:color w:val="auto"/>
                    </w:rPr>
                    <w:t>Barriers to learning these priorities address</w:t>
                  </w: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14213" w:rsidR="002173A3" w:rsidP="002173A3" w:rsidRDefault="002173A3" w14:paraId="22B206EE" w14:textId="77777777">
                  <w:pPr>
                    <w:pStyle w:val="TableRow"/>
                    <w:ind w:left="0"/>
                    <w:rPr>
                      <w:color w:val="auto"/>
                    </w:rPr>
                  </w:pPr>
                  <w:r w:rsidRPr="00314213">
                    <w:rPr>
                      <w:rStyle w:val="PlaceholderText"/>
                      <w:rFonts w:ascii="Garamond" w:hAnsi="Garamond"/>
                      <w:color w:val="auto"/>
                    </w:rPr>
                    <w:t>A group of hard to reach parents.</w:t>
                  </w:r>
                </w:p>
              </w:tc>
              <w:tc>
                <w:tcPr>
                  <w:tcW w:w="379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314213" w:rsidR="002173A3" w:rsidP="002173A3" w:rsidRDefault="002173A3" w14:paraId="22C0AE08" w14:textId="77777777">
                  <w:pPr>
                    <w:pStyle w:val="TableRow"/>
                    <w:ind w:left="0"/>
                    <w:rPr>
                      <w:color w:val="auto"/>
                    </w:rPr>
                  </w:pPr>
                  <w:r w:rsidRPr="00314213">
                    <w:rPr>
                      <w:rStyle w:val="PlaceholderText"/>
                      <w:rFonts w:ascii="Garamond" w:hAnsi="Garamond"/>
                      <w:color w:val="auto"/>
                    </w:rPr>
                    <w:t>The attendance lead has built up positive and effective relationships with the significant majority of these parents.</w:t>
                  </w:r>
                </w:p>
              </w:tc>
            </w:tr>
          </w:tbl>
          <w:p w:rsidR="00E66558" w:rsidRDefault="00E66558" w14:paraId="2A7D5546" w14:textId="1B7E4306"/>
        </w:tc>
      </w:tr>
    </w:tbl>
    <w:p w:rsidR="00E66558" w:rsidRDefault="00E66558" w14:paraId="2A7D555F" w14:textId="77777777">
      <w:pPr>
        <w:spacing w:after="0" w:line="240" w:lineRule="auto"/>
      </w:pPr>
    </w:p>
    <w:bookmarkEnd w:id="15"/>
    <w:bookmarkEnd w:id="16"/>
    <w:bookmarkEnd w:id="17"/>
    <w:sectPr w:rsidR="00E66558">
      <w:headerReference w:type="default" r:id="rId10"/>
      <w:footerReference w:type="default" r:id="rId11"/>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983" w:rsidRDefault="002C0983" w14:paraId="1A2D333E" w14:textId="77777777">
      <w:pPr>
        <w:spacing w:after="0" w:line="240" w:lineRule="auto"/>
      </w:pPr>
      <w:r>
        <w:separator/>
      </w:r>
    </w:p>
  </w:endnote>
  <w:endnote w:type="continuationSeparator" w:id="0">
    <w:p w:rsidR="002C0983" w:rsidRDefault="002C0983" w14:paraId="319CA3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A4" w:rsidRDefault="009D71E8" w14:paraId="2A7D54BE" w14:textId="777777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983" w:rsidRDefault="002C0983" w14:paraId="114A2E4A" w14:textId="77777777">
      <w:pPr>
        <w:spacing w:after="0" w:line="240" w:lineRule="auto"/>
      </w:pPr>
      <w:r>
        <w:separator/>
      </w:r>
    </w:p>
  </w:footnote>
  <w:footnote w:type="continuationSeparator" w:id="0">
    <w:p w:rsidR="002C0983" w:rsidRDefault="002C0983" w14:paraId="227C4BC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A4" w:rsidRDefault="00314213"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7BC6304"/>
    <w:multiLevelType w:val="hybridMultilevel"/>
    <w:tmpl w:val="945AC2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884E8"/>
    <w:rsid w:val="00101AD8"/>
    <w:rsid w:val="00120AB1"/>
    <w:rsid w:val="002173A3"/>
    <w:rsid w:val="002C0983"/>
    <w:rsid w:val="002C3061"/>
    <w:rsid w:val="002F5D2C"/>
    <w:rsid w:val="00314213"/>
    <w:rsid w:val="003E04A0"/>
    <w:rsid w:val="004044AA"/>
    <w:rsid w:val="006C4A0D"/>
    <w:rsid w:val="006E7FB1"/>
    <w:rsid w:val="00741B9E"/>
    <w:rsid w:val="007C2F04"/>
    <w:rsid w:val="009D71E8"/>
    <w:rsid w:val="00BB7193"/>
    <w:rsid w:val="00C041DF"/>
    <w:rsid w:val="00D33FE5"/>
    <w:rsid w:val="00E66558"/>
    <w:rsid w:val="00F662B2"/>
    <w:rsid w:val="01D2B66D"/>
    <w:rsid w:val="02117E49"/>
    <w:rsid w:val="02DAC1D0"/>
    <w:rsid w:val="04757497"/>
    <w:rsid w:val="0657994B"/>
    <w:rsid w:val="088C683E"/>
    <w:rsid w:val="0AD6DAD4"/>
    <w:rsid w:val="0B687203"/>
    <w:rsid w:val="0FFD9FDF"/>
    <w:rsid w:val="102854EB"/>
    <w:rsid w:val="1127B661"/>
    <w:rsid w:val="11AFC197"/>
    <w:rsid w:val="11EAE4FE"/>
    <w:rsid w:val="123A28D8"/>
    <w:rsid w:val="143486E2"/>
    <w:rsid w:val="15432A9E"/>
    <w:rsid w:val="154383EB"/>
    <w:rsid w:val="15E00421"/>
    <w:rsid w:val="15F14B68"/>
    <w:rsid w:val="17F274E7"/>
    <w:rsid w:val="1947F5DD"/>
    <w:rsid w:val="1C9882BE"/>
    <w:rsid w:val="1CF78857"/>
    <w:rsid w:val="1D0545B1"/>
    <w:rsid w:val="1FD23418"/>
    <w:rsid w:val="20C66A54"/>
    <w:rsid w:val="21EBD72A"/>
    <w:rsid w:val="22623AB5"/>
    <w:rsid w:val="24FD9BBD"/>
    <w:rsid w:val="25C4F674"/>
    <w:rsid w:val="26B00D9D"/>
    <w:rsid w:val="2A4496E2"/>
    <w:rsid w:val="2AFA0AD4"/>
    <w:rsid w:val="2B89DF2A"/>
    <w:rsid w:val="2B92D760"/>
    <w:rsid w:val="2C13908F"/>
    <w:rsid w:val="2C89A18F"/>
    <w:rsid w:val="2D768770"/>
    <w:rsid w:val="2DDF1893"/>
    <w:rsid w:val="2EA8578F"/>
    <w:rsid w:val="2EDA644C"/>
    <w:rsid w:val="2FE7C303"/>
    <w:rsid w:val="3056EFE3"/>
    <w:rsid w:val="31200AEE"/>
    <w:rsid w:val="366C0329"/>
    <w:rsid w:val="3747375B"/>
    <w:rsid w:val="37B9F45A"/>
    <w:rsid w:val="37E38EC8"/>
    <w:rsid w:val="3872EB96"/>
    <w:rsid w:val="38EF8D89"/>
    <w:rsid w:val="39EB0A36"/>
    <w:rsid w:val="3C2C8EFA"/>
    <w:rsid w:val="3CC9036F"/>
    <w:rsid w:val="3E100D81"/>
    <w:rsid w:val="3FAA5D89"/>
    <w:rsid w:val="4029954F"/>
    <w:rsid w:val="40AB1594"/>
    <w:rsid w:val="4147AE43"/>
    <w:rsid w:val="4565E150"/>
    <w:rsid w:val="46E70E48"/>
    <w:rsid w:val="472FE7EB"/>
    <w:rsid w:val="4746919A"/>
    <w:rsid w:val="48667DC1"/>
    <w:rsid w:val="486D4B25"/>
    <w:rsid w:val="49B610D5"/>
    <w:rsid w:val="49E88E0A"/>
    <w:rsid w:val="4CC859FC"/>
    <w:rsid w:val="4D287823"/>
    <w:rsid w:val="4D3F6B92"/>
    <w:rsid w:val="4F95297B"/>
    <w:rsid w:val="50D8C901"/>
    <w:rsid w:val="513E7DCC"/>
    <w:rsid w:val="515769C3"/>
    <w:rsid w:val="519FE56C"/>
    <w:rsid w:val="524B9C02"/>
    <w:rsid w:val="540EF04A"/>
    <w:rsid w:val="54290353"/>
    <w:rsid w:val="54A022DC"/>
    <w:rsid w:val="584176F5"/>
    <w:rsid w:val="5AABCB56"/>
    <w:rsid w:val="5B0CA1D9"/>
    <w:rsid w:val="5B3D67EF"/>
    <w:rsid w:val="5C8E4528"/>
    <w:rsid w:val="5D1D8331"/>
    <w:rsid w:val="5E2DDCC5"/>
    <w:rsid w:val="5E317AA8"/>
    <w:rsid w:val="607EF66F"/>
    <w:rsid w:val="6161B64B"/>
    <w:rsid w:val="6304EBCB"/>
    <w:rsid w:val="6310D720"/>
    <w:rsid w:val="645B8573"/>
    <w:rsid w:val="64C7F05C"/>
    <w:rsid w:val="65F755D4"/>
    <w:rsid w:val="660A45E1"/>
    <w:rsid w:val="66136EB7"/>
    <w:rsid w:val="6730FC9A"/>
    <w:rsid w:val="68329F11"/>
    <w:rsid w:val="6AF6D553"/>
    <w:rsid w:val="6C82FE74"/>
    <w:rsid w:val="6CBAD0E0"/>
    <w:rsid w:val="6FE3F73A"/>
    <w:rsid w:val="7180CC50"/>
    <w:rsid w:val="725274AB"/>
    <w:rsid w:val="731B97FC"/>
    <w:rsid w:val="731F704B"/>
    <w:rsid w:val="74266FF8"/>
    <w:rsid w:val="74B7685D"/>
    <w:rsid w:val="74E3255E"/>
    <w:rsid w:val="75A4427F"/>
    <w:rsid w:val="78DBE341"/>
    <w:rsid w:val="79562DC9"/>
    <w:rsid w:val="7987F80E"/>
    <w:rsid w:val="7A614DCC"/>
    <w:rsid w:val="7B316899"/>
    <w:rsid w:val="7BD4D034"/>
    <w:rsid w:val="7C2526A3"/>
    <w:rsid w:val="7CD815CC"/>
    <w:rsid w:val="7D1BC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character" w:styleId="PlaceholderText">
    <w:name w:val="Placeholder Text"/>
    <w:basedOn w:val="DefaultParagraphFont"/>
    <w:rsid w:val="00217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CA3E6768F3B42895F7FC735618806" ma:contentTypeVersion="10" ma:contentTypeDescription="Create a new document." ma:contentTypeScope="" ma:versionID="0feb6451118dab352a67d620c38a2f53">
  <xsd:schema xmlns:xsd="http://www.w3.org/2001/XMLSchema" xmlns:xs="http://www.w3.org/2001/XMLSchema" xmlns:p="http://schemas.microsoft.com/office/2006/metadata/properties" xmlns:ns2="d10112cc-c2e5-46e2-8d59-071449aad050" xmlns:ns3="3e411e7d-219f-43f3-962d-6e6d84178a53" targetNamespace="http://schemas.microsoft.com/office/2006/metadata/properties" ma:root="true" ma:fieldsID="6eddbd122b15f436207b62b6fcccdd3d" ns2:_="" ns3:_="">
    <xsd:import namespace="d10112cc-c2e5-46e2-8d59-071449aad050"/>
    <xsd:import namespace="3e411e7d-219f-43f3-962d-6e6d84178a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112cc-c2e5-46e2-8d59-071449aad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11e7d-219f-43f3-962d-6e6d84178a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7F7C7-3663-4EBF-A91D-68B1E7334029}"/>
</file>

<file path=customXml/itemProps2.xml><?xml version="1.0" encoding="utf-8"?>
<ds:datastoreItem xmlns:ds="http://schemas.openxmlformats.org/officeDocument/2006/customXml" ds:itemID="{D6CC892D-75FB-47EF-8A4E-EECBDF900FA8}">
  <ds:schemaRefs>
    <ds:schemaRef ds:uri="http://schemas.microsoft.com/sharepoint/v3/contenttype/forms"/>
  </ds:schemaRefs>
</ds:datastoreItem>
</file>

<file path=customXml/itemProps3.xml><?xml version="1.0" encoding="utf-8"?>
<ds:datastoreItem xmlns:ds="http://schemas.openxmlformats.org/officeDocument/2006/customXml" ds:itemID="{B188E909-ACDF-4576-BE81-09D2FE6401D3}">
  <ds:schemaRefs>
    <ds:schemaRef ds:uri="http://schemas.microsoft.com/office/infopath/2007/PartnerControls"/>
    <ds:schemaRef ds:uri="http://schemas.openxmlformats.org/package/2006/metadata/core-properties"/>
    <ds:schemaRef ds:uri="http://purl.org/dc/terms/"/>
    <ds:schemaRef ds:uri="3e411e7d-219f-43f3-962d-6e6d84178a53"/>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2b319bcb-043e-4e6d-a932-4c71b17bd5b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DfE external document template</dc:title>
  <dc:subject/>
  <dc:creator>Publishing.TEAM@education.gsi.gov.uk</dc:creator>
  <dc:description>Master-ET-v3.8</dc:description>
  <lastModifiedBy>Airy Hill Headteacher</lastModifiedBy>
  <revision>11</revision>
  <lastPrinted>2014-09-17T13:26:00.0000000Z</lastPrinted>
  <dcterms:created xsi:type="dcterms:W3CDTF">2021-09-13T14:42:00.0000000Z</dcterms:created>
  <dcterms:modified xsi:type="dcterms:W3CDTF">2022-11-07T10:21:44.7010440Z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0x010100773CA3E6768F3B42895F7FC735618806</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