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314213" w14:paraId="2A7D54B1" w14:textId="316072FE">
      <w:pPr>
        <w:pStyle w:val="Heading1"/>
      </w:pPr>
      <w:bookmarkStart w:name="_Toc400361362" w:id="0"/>
      <w:bookmarkStart w:name="_Toc443397153" w:id="1"/>
      <w:bookmarkStart w:name="_Toc357771638" w:id="2"/>
      <w:bookmarkStart w:name="_Toc346793416" w:id="3"/>
      <w:bookmarkStart w:name="_Toc328122777" w:id="4"/>
      <w:r>
        <w:t xml:space="preserve">Airy Hill Primary School: </w:t>
      </w:r>
      <w:r w:rsidR="009D71E8">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Pr="0013296E" w:rsidR="00E66558" w:rsidP="123A28D8" w:rsidRDefault="009D71E8" w14:paraId="2A7D54B2" w14:textId="2F050993">
      <w:pPr>
        <w:pStyle w:val="Heading2"/>
        <w:rPr>
          <w:rFonts w:ascii="Century Gothic" w:hAnsi="Century Gothic"/>
          <w:b w:val="0"/>
          <w:color w:val="auto"/>
          <w:sz w:val="20"/>
          <w:szCs w:val="20"/>
        </w:rPr>
      </w:pPr>
      <w:r w:rsidRPr="0013296E">
        <w:rPr>
          <w:rFonts w:ascii="Century Gothic" w:hAnsi="Century Gothic"/>
          <w:b w:val="0"/>
          <w:color w:val="auto"/>
          <w:sz w:val="20"/>
          <w:szCs w:val="20"/>
        </w:rPr>
        <w:t>This statement details our school’s use of pupil premium (and recovery premium for the 202</w:t>
      </w:r>
      <w:r w:rsidRPr="0013296E" w:rsidR="00D07A7F">
        <w:rPr>
          <w:rFonts w:ascii="Century Gothic" w:hAnsi="Century Gothic"/>
          <w:b w:val="0"/>
          <w:color w:val="auto"/>
          <w:sz w:val="20"/>
          <w:szCs w:val="20"/>
        </w:rPr>
        <w:t>3</w:t>
      </w:r>
      <w:r w:rsidRPr="0013296E">
        <w:rPr>
          <w:rFonts w:ascii="Century Gothic" w:hAnsi="Century Gothic"/>
          <w:b w:val="0"/>
          <w:color w:val="auto"/>
          <w:sz w:val="20"/>
          <w:szCs w:val="20"/>
        </w:rPr>
        <w:t xml:space="preserve"> to 202</w:t>
      </w:r>
      <w:r w:rsidRPr="0013296E" w:rsidR="00D07A7F">
        <w:rPr>
          <w:rFonts w:ascii="Century Gothic" w:hAnsi="Century Gothic"/>
          <w:b w:val="0"/>
          <w:color w:val="auto"/>
          <w:sz w:val="20"/>
          <w:szCs w:val="20"/>
        </w:rPr>
        <w:t>4</w:t>
      </w:r>
      <w:r w:rsidRPr="0013296E">
        <w:rPr>
          <w:rFonts w:ascii="Century Gothic" w:hAnsi="Century Gothic"/>
          <w:b w:val="0"/>
          <w:color w:val="auto"/>
          <w:sz w:val="20"/>
          <w:szCs w:val="20"/>
        </w:rPr>
        <w:t xml:space="preserve"> academic year) funding to help improve the attainment of our disadvantaged pupils. </w:t>
      </w:r>
    </w:p>
    <w:p w:rsidRPr="0013296E" w:rsidR="00E66558" w:rsidRDefault="009D71E8" w14:paraId="2A7D54B3" w14:textId="77777777">
      <w:pPr>
        <w:pStyle w:val="Heading2"/>
        <w:spacing w:before="240"/>
        <w:rPr>
          <w:rFonts w:ascii="Century Gothic" w:hAnsi="Century Gothic"/>
          <w:b w:val="0"/>
          <w:bCs/>
          <w:color w:val="auto"/>
          <w:sz w:val="20"/>
          <w:szCs w:val="20"/>
        </w:rPr>
      </w:pPr>
      <w:r w:rsidRPr="0013296E">
        <w:rPr>
          <w:rFonts w:ascii="Century Gothic" w:hAnsi="Century Gothic"/>
          <w:b w:val="0"/>
          <w:bCs/>
          <w:color w:val="auto"/>
          <w:sz w:val="20"/>
          <w:szCs w:val="20"/>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3CE547C3"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3CE547C3"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B8" w14:textId="77777777">
            <w:pPr>
              <w:pStyle w:val="TableRow"/>
              <w:rPr>
                <w:rFonts w:ascii="Century Gothic" w:hAnsi="Century Gothic"/>
                <w:sz w:val="20"/>
                <w:szCs w:val="20"/>
              </w:rPr>
            </w:pPr>
            <w:r w:rsidRPr="0013296E">
              <w:rPr>
                <w:rFonts w:ascii="Century Gothic" w:hAnsi="Century Gothic"/>
                <w:sz w:val="20"/>
                <w:szCs w:val="20"/>
              </w:rP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6C4A0D" w14:paraId="2A7D54B9" w14:textId="4C392E17">
            <w:pPr>
              <w:pStyle w:val="TableRow"/>
              <w:rPr>
                <w:rFonts w:ascii="Century Gothic" w:hAnsi="Century Gothic"/>
                <w:sz w:val="20"/>
                <w:szCs w:val="20"/>
              </w:rPr>
            </w:pPr>
            <w:r w:rsidRPr="0013296E">
              <w:rPr>
                <w:rFonts w:ascii="Century Gothic" w:hAnsi="Century Gothic"/>
                <w:sz w:val="20"/>
                <w:szCs w:val="20"/>
              </w:rPr>
              <w:t>Airy Hill Primary School</w:t>
            </w:r>
          </w:p>
        </w:tc>
      </w:tr>
      <w:tr w:rsidR="00E66558" w:rsidTr="3CE547C3"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BB" w14:textId="77777777">
            <w:pPr>
              <w:pStyle w:val="TableRow"/>
              <w:rPr>
                <w:rFonts w:ascii="Century Gothic" w:hAnsi="Century Gothic"/>
                <w:sz w:val="20"/>
                <w:szCs w:val="20"/>
              </w:rPr>
            </w:pPr>
            <w:r w:rsidRPr="0013296E">
              <w:rPr>
                <w:rFonts w:ascii="Century Gothic" w:hAnsi="Century Gothic"/>
                <w:sz w:val="20"/>
                <w:szCs w:val="20"/>
              </w:rP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4D287823" w14:paraId="2A7D54BC" w14:textId="4AFAB498">
            <w:pPr>
              <w:pStyle w:val="TableRow"/>
              <w:rPr>
                <w:rFonts w:ascii="Century Gothic" w:hAnsi="Century Gothic"/>
                <w:sz w:val="20"/>
                <w:szCs w:val="20"/>
              </w:rPr>
            </w:pPr>
            <w:r w:rsidRPr="3CE547C3" w:rsidR="4D287823">
              <w:rPr>
                <w:rFonts w:ascii="Century Gothic" w:hAnsi="Century Gothic"/>
                <w:sz w:val="20"/>
                <w:szCs w:val="20"/>
              </w:rPr>
              <w:t>1</w:t>
            </w:r>
            <w:r w:rsidRPr="3CE547C3" w:rsidR="6E7CCFDE">
              <w:rPr>
                <w:rFonts w:ascii="Century Gothic" w:hAnsi="Century Gothic"/>
                <w:sz w:val="20"/>
                <w:szCs w:val="20"/>
              </w:rPr>
              <w:t>78</w:t>
            </w:r>
            <w:r w:rsidRPr="3CE547C3" w:rsidR="31200AEE">
              <w:rPr>
                <w:rFonts w:ascii="Century Gothic" w:hAnsi="Century Gothic"/>
                <w:sz w:val="20"/>
                <w:szCs w:val="20"/>
              </w:rPr>
              <w:t xml:space="preserve"> + nursery</w:t>
            </w:r>
          </w:p>
        </w:tc>
      </w:tr>
      <w:tr w:rsidR="00E66558" w:rsidTr="3CE547C3"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BE" w14:textId="77777777">
            <w:pPr>
              <w:pStyle w:val="TableRow"/>
              <w:rPr>
                <w:rFonts w:ascii="Century Gothic" w:hAnsi="Century Gothic"/>
                <w:sz w:val="20"/>
                <w:szCs w:val="20"/>
              </w:rPr>
            </w:pPr>
            <w:r w:rsidRPr="0013296E">
              <w:rPr>
                <w:rFonts w:ascii="Century Gothic" w:hAnsi="Century Gothic"/>
                <w:sz w:val="20"/>
                <w:szCs w:val="20"/>
              </w:rP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4D287823" w14:paraId="2A7D54BF" w14:textId="2A9580EA">
            <w:pPr>
              <w:pStyle w:val="TableRow"/>
              <w:rPr>
                <w:rFonts w:ascii="Century Gothic" w:hAnsi="Century Gothic"/>
                <w:sz w:val="20"/>
                <w:szCs w:val="20"/>
              </w:rPr>
            </w:pPr>
            <w:r w:rsidRPr="3CE547C3" w:rsidR="4D287823">
              <w:rPr>
                <w:rFonts w:ascii="Century Gothic" w:hAnsi="Century Gothic"/>
                <w:sz w:val="20"/>
                <w:szCs w:val="20"/>
              </w:rPr>
              <w:t>52/1</w:t>
            </w:r>
            <w:r w:rsidRPr="3CE547C3" w:rsidR="2481EAD3">
              <w:rPr>
                <w:rFonts w:ascii="Century Gothic" w:hAnsi="Century Gothic"/>
                <w:sz w:val="20"/>
                <w:szCs w:val="20"/>
              </w:rPr>
              <w:t xml:space="preserve">78 </w:t>
            </w:r>
            <w:r w:rsidRPr="3CE547C3" w:rsidR="4D287823">
              <w:rPr>
                <w:rFonts w:ascii="Century Gothic" w:hAnsi="Century Gothic"/>
                <w:sz w:val="20"/>
                <w:szCs w:val="20"/>
              </w:rPr>
              <w:t xml:space="preserve">= </w:t>
            </w:r>
            <w:r w:rsidRPr="3CE547C3" w:rsidR="35AC15D5">
              <w:rPr>
                <w:rFonts w:ascii="Century Gothic" w:hAnsi="Century Gothic"/>
                <w:sz w:val="20"/>
                <w:szCs w:val="20"/>
              </w:rPr>
              <w:t>29</w:t>
            </w:r>
            <w:r w:rsidRPr="3CE547C3" w:rsidR="4D287823">
              <w:rPr>
                <w:rFonts w:ascii="Century Gothic" w:hAnsi="Century Gothic"/>
                <w:sz w:val="20"/>
                <w:szCs w:val="20"/>
              </w:rPr>
              <w:t>%</w:t>
            </w:r>
          </w:p>
        </w:tc>
      </w:tr>
      <w:tr w:rsidR="00E66558" w:rsidTr="3CE547C3"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C1" w14:textId="77777777">
            <w:pPr>
              <w:pStyle w:val="TableRow"/>
              <w:rPr>
                <w:rFonts w:ascii="Century Gothic" w:hAnsi="Century Gothic"/>
                <w:sz w:val="20"/>
                <w:szCs w:val="20"/>
              </w:rPr>
            </w:pPr>
            <w:r w:rsidRPr="0013296E">
              <w:rPr>
                <w:rFonts w:ascii="Century Gothic" w:hAnsi="Century Gothic"/>
                <w:sz w:val="20"/>
                <w:szCs w:val="20"/>
              </w:rPr>
              <w:t xml:space="preserve">Academic year/years that our current pupil premium strategy plan covers </w:t>
            </w:r>
            <w:r w:rsidRPr="0013296E">
              <w:rPr>
                <w:rFonts w:ascii="Century Gothic" w:hAnsi="Century Gothic"/>
                <w:b/>
                <w:bCs/>
                <w:sz w:val="20"/>
                <w:szCs w:val="20"/>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6C4A0D" w14:paraId="1C45549D" w14:textId="7CC59B89">
            <w:pPr>
              <w:pStyle w:val="TableRow"/>
              <w:rPr>
                <w:rFonts w:ascii="Century Gothic" w:hAnsi="Century Gothic"/>
                <w:sz w:val="20"/>
                <w:szCs w:val="20"/>
              </w:rPr>
            </w:pPr>
            <w:r w:rsidRPr="0013296E">
              <w:rPr>
                <w:rFonts w:ascii="Century Gothic" w:hAnsi="Century Gothic"/>
                <w:sz w:val="20"/>
                <w:szCs w:val="20"/>
              </w:rPr>
              <w:t>2021-2022</w:t>
            </w:r>
          </w:p>
          <w:p w:rsidRPr="0013296E" w:rsidR="006C4A0D" w:rsidRDefault="006C4A0D" w14:paraId="5B6DA906" w14:textId="51AA253A">
            <w:pPr>
              <w:pStyle w:val="TableRow"/>
              <w:rPr>
                <w:rFonts w:ascii="Century Gothic" w:hAnsi="Century Gothic"/>
                <w:sz w:val="20"/>
                <w:szCs w:val="20"/>
              </w:rPr>
            </w:pPr>
            <w:r w:rsidRPr="0013296E">
              <w:rPr>
                <w:rFonts w:ascii="Century Gothic" w:hAnsi="Century Gothic"/>
                <w:sz w:val="20"/>
                <w:szCs w:val="20"/>
              </w:rPr>
              <w:t>2022 - 2023</w:t>
            </w:r>
          </w:p>
          <w:p w:rsidRPr="0013296E" w:rsidR="006C4A0D" w:rsidRDefault="006C4A0D" w14:paraId="2A7D54C2" w14:textId="24790464">
            <w:pPr>
              <w:pStyle w:val="TableRow"/>
              <w:rPr>
                <w:rFonts w:ascii="Century Gothic" w:hAnsi="Century Gothic"/>
                <w:sz w:val="20"/>
                <w:szCs w:val="20"/>
              </w:rPr>
            </w:pPr>
            <w:r w:rsidRPr="0013296E">
              <w:rPr>
                <w:rFonts w:ascii="Century Gothic" w:hAnsi="Century Gothic"/>
                <w:sz w:val="20"/>
                <w:szCs w:val="20"/>
              </w:rPr>
              <w:t>2023 - 2024</w:t>
            </w:r>
          </w:p>
        </w:tc>
      </w:tr>
      <w:tr w:rsidR="00E66558" w:rsidTr="3CE547C3"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C4" w14:textId="77777777">
            <w:pPr>
              <w:pStyle w:val="TableRow"/>
              <w:rPr>
                <w:rFonts w:ascii="Century Gothic" w:hAnsi="Century Gothic"/>
                <w:sz w:val="20"/>
                <w:szCs w:val="20"/>
              </w:rPr>
            </w:pPr>
            <w:r w:rsidRPr="0013296E">
              <w:rPr>
                <w:rFonts w:ascii="Century Gothic" w:hAnsi="Century Gothic"/>
                <w:sz w:val="20"/>
                <w:szCs w:val="20"/>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46E70E48" w14:paraId="2A7D54C5" w14:textId="6E228811">
            <w:pPr>
              <w:pStyle w:val="TableRow"/>
              <w:rPr>
                <w:rFonts w:ascii="Century Gothic" w:hAnsi="Century Gothic"/>
                <w:sz w:val="20"/>
                <w:szCs w:val="20"/>
              </w:rPr>
            </w:pPr>
            <w:r w:rsidRPr="0013296E">
              <w:rPr>
                <w:rFonts w:ascii="Century Gothic" w:hAnsi="Century Gothic"/>
                <w:sz w:val="20"/>
                <w:szCs w:val="20"/>
              </w:rPr>
              <w:t>October 202</w:t>
            </w:r>
            <w:r w:rsidRPr="0013296E" w:rsidR="00D07A7F">
              <w:rPr>
                <w:rFonts w:ascii="Century Gothic" w:hAnsi="Century Gothic"/>
                <w:sz w:val="20"/>
                <w:szCs w:val="20"/>
              </w:rPr>
              <w:t>3</w:t>
            </w:r>
          </w:p>
        </w:tc>
      </w:tr>
      <w:tr w:rsidR="00E66558" w:rsidTr="3CE547C3"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C7" w14:textId="77777777">
            <w:pPr>
              <w:pStyle w:val="TableRow"/>
              <w:rPr>
                <w:rFonts w:ascii="Century Gothic" w:hAnsi="Century Gothic"/>
                <w:sz w:val="20"/>
                <w:szCs w:val="20"/>
              </w:rPr>
            </w:pPr>
            <w:r w:rsidRPr="0013296E">
              <w:rPr>
                <w:rFonts w:ascii="Century Gothic" w:hAnsi="Century Gothic"/>
                <w:sz w:val="20"/>
                <w:szCs w:val="20"/>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6C4A0D" w14:paraId="2A7D54C8" w14:textId="35D164AF">
            <w:pPr>
              <w:pStyle w:val="TableRow"/>
              <w:rPr>
                <w:rFonts w:ascii="Century Gothic" w:hAnsi="Century Gothic"/>
                <w:sz w:val="20"/>
                <w:szCs w:val="20"/>
              </w:rPr>
            </w:pPr>
            <w:r w:rsidRPr="0013296E">
              <w:rPr>
                <w:rFonts w:ascii="Century Gothic" w:hAnsi="Century Gothic"/>
                <w:sz w:val="20"/>
                <w:szCs w:val="20"/>
              </w:rPr>
              <w:t>Termly over the three years</w:t>
            </w:r>
          </w:p>
        </w:tc>
      </w:tr>
      <w:tr w:rsidR="00E66558" w:rsidTr="3CE547C3"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CA" w14:textId="77777777">
            <w:pPr>
              <w:pStyle w:val="TableRow"/>
              <w:rPr>
                <w:rFonts w:ascii="Century Gothic" w:hAnsi="Century Gothic"/>
                <w:sz w:val="20"/>
                <w:szCs w:val="20"/>
              </w:rPr>
            </w:pPr>
            <w:r w:rsidRPr="0013296E">
              <w:rPr>
                <w:rFonts w:ascii="Century Gothic" w:hAnsi="Century Gothic"/>
                <w:sz w:val="20"/>
                <w:szCs w:val="20"/>
              </w:rP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AD6DAD4" w14:paraId="2A7D54CB" w14:textId="79EA7304">
            <w:pPr>
              <w:pStyle w:val="TableRow"/>
              <w:rPr>
                <w:rFonts w:ascii="Century Gothic" w:hAnsi="Century Gothic"/>
                <w:sz w:val="20"/>
                <w:szCs w:val="20"/>
              </w:rPr>
            </w:pPr>
            <w:r w:rsidRPr="0013296E">
              <w:rPr>
                <w:rFonts w:ascii="Century Gothic" w:hAnsi="Century Gothic"/>
                <w:sz w:val="20"/>
                <w:szCs w:val="20"/>
              </w:rPr>
              <w:t>Sam Butters</w:t>
            </w:r>
          </w:p>
        </w:tc>
      </w:tr>
      <w:tr w:rsidR="00E66558" w:rsidTr="3CE547C3"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CD" w14:textId="77777777">
            <w:pPr>
              <w:pStyle w:val="TableRow"/>
              <w:rPr>
                <w:rFonts w:ascii="Century Gothic" w:hAnsi="Century Gothic"/>
                <w:sz w:val="20"/>
                <w:szCs w:val="20"/>
              </w:rPr>
            </w:pPr>
            <w:r w:rsidRPr="0013296E">
              <w:rPr>
                <w:rFonts w:ascii="Century Gothic" w:hAnsi="Century Gothic"/>
                <w:sz w:val="20"/>
                <w:szCs w:val="20"/>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7B316899" w14:paraId="2A7D54CE" w14:textId="11D7FC77">
            <w:pPr>
              <w:pStyle w:val="TableRow"/>
              <w:rPr>
                <w:rFonts w:ascii="Century Gothic" w:hAnsi="Century Gothic"/>
                <w:sz w:val="20"/>
                <w:szCs w:val="20"/>
              </w:rPr>
            </w:pPr>
            <w:r w:rsidRPr="0013296E">
              <w:rPr>
                <w:rFonts w:ascii="Century Gothic" w:hAnsi="Century Gothic"/>
                <w:sz w:val="20"/>
                <w:szCs w:val="20"/>
              </w:rPr>
              <w:t xml:space="preserve">Sam Butters </w:t>
            </w:r>
          </w:p>
        </w:tc>
      </w:tr>
      <w:tr w:rsidR="00E66558" w:rsidTr="3CE547C3"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D0" w14:textId="77777777">
            <w:pPr>
              <w:pStyle w:val="TableRow"/>
              <w:rPr>
                <w:rFonts w:ascii="Century Gothic" w:hAnsi="Century Gothic"/>
                <w:sz w:val="20"/>
                <w:szCs w:val="20"/>
              </w:rPr>
            </w:pPr>
            <w:r w:rsidRPr="0013296E">
              <w:rPr>
                <w:rFonts w:ascii="Century Gothic" w:hAnsi="Century Gothic"/>
                <w:sz w:val="20"/>
                <w:szCs w:val="20"/>
              </w:rP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524B9C02" w14:paraId="2A7D54D1" w14:textId="7900C94F">
            <w:pPr>
              <w:pStyle w:val="TableRow"/>
              <w:rPr>
                <w:rFonts w:ascii="Century Gothic" w:hAnsi="Century Gothic"/>
                <w:sz w:val="20"/>
                <w:szCs w:val="20"/>
              </w:rPr>
            </w:pPr>
            <w:r w:rsidRPr="0013296E">
              <w:rPr>
                <w:rFonts w:ascii="Century Gothic" w:hAnsi="Century Gothic"/>
                <w:sz w:val="20"/>
                <w:szCs w:val="20"/>
              </w:rPr>
              <w:t>Deborah Hall</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CE547C3"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CE547C3"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13296E" w:rsidR="00E66558" w:rsidRDefault="009D71E8" w14:paraId="2A7D54D7" w14:textId="77777777">
            <w:pPr>
              <w:pStyle w:val="TableRow"/>
              <w:rPr>
                <w:rFonts w:ascii="Century Gothic" w:hAnsi="Century Gothic"/>
                <w:sz w:val="20"/>
                <w:szCs w:val="20"/>
              </w:rPr>
            </w:pPr>
            <w:r w:rsidRPr="0013296E">
              <w:rPr>
                <w:rFonts w:ascii="Century Gothic" w:hAnsi="Century Gothic"/>
                <w:sz w:val="20"/>
                <w:szCs w:val="20"/>
              </w:rP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2FE7C303" w14:paraId="2A7D54D8" w14:textId="455C8EF6">
            <w:pPr>
              <w:pStyle w:val="TableRow"/>
              <w:rPr>
                <w:rFonts w:ascii="Century Gothic" w:hAnsi="Century Gothic"/>
                <w:sz w:val="20"/>
                <w:szCs w:val="20"/>
              </w:rPr>
            </w:pPr>
            <w:r w:rsidRPr="3CE547C3" w:rsidR="6D8B33C3">
              <w:rPr>
                <w:rFonts w:ascii="Century Gothic" w:hAnsi="Century Gothic"/>
                <w:sz w:val="20"/>
                <w:szCs w:val="20"/>
              </w:rPr>
              <w:t>£</w:t>
            </w:r>
            <w:r w:rsidRPr="3CE547C3" w:rsidR="2D9FEEB5">
              <w:rPr>
                <w:rFonts w:ascii="Century Gothic" w:hAnsi="Century Gothic"/>
                <w:sz w:val="20"/>
                <w:szCs w:val="20"/>
              </w:rPr>
              <w:t>7</w:t>
            </w:r>
            <w:r w:rsidRPr="3CE547C3" w:rsidR="1126B0F5">
              <w:rPr>
                <w:rFonts w:ascii="Century Gothic" w:hAnsi="Century Gothic"/>
                <w:sz w:val="20"/>
                <w:szCs w:val="20"/>
              </w:rPr>
              <w:t>0597</w:t>
            </w:r>
          </w:p>
        </w:tc>
      </w:tr>
      <w:tr w:rsidR="00E66558" w:rsidTr="3CE547C3"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13296E" w:rsidR="00E66558" w:rsidRDefault="009D71E8" w14:paraId="2A7D54DA" w14:textId="77777777">
            <w:pPr>
              <w:pStyle w:val="TableRow"/>
              <w:rPr>
                <w:rFonts w:ascii="Century Gothic" w:hAnsi="Century Gothic"/>
                <w:sz w:val="20"/>
                <w:szCs w:val="20"/>
              </w:rPr>
            </w:pPr>
            <w:r w:rsidRPr="0013296E">
              <w:rPr>
                <w:rFonts w:ascii="Century Gothic" w:hAnsi="Century Gothic"/>
                <w:sz w:val="20"/>
                <w:szCs w:val="20"/>
              </w:rP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C041DF" w14:paraId="2A7D54DB" w14:textId="09561845">
            <w:pPr>
              <w:pStyle w:val="TableRow"/>
              <w:rPr>
                <w:rFonts w:ascii="Century Gothic" w:hAnsi="Century Gothic"/>
                <w:sz w:val="20"/>
                <w:szCs w:val="20"/>
              </w:rPr>
            </w:pPr>
            <w:r w:rsidRPr="3CE547C3" w:rsidR="67EEC2C8">
              <w:rPr>
                <w:rFonts w:ascii="Century Gothic" w:hAnsi="Century Gothic"/>
                <w:sz w:val="20"/>
                <w:szCs w:val="20"/>
              </w:rPr>
              <w:t>£</w:t>
            </w:r>
            <w:r w:rsidRPr="3CE547C3" w:rsidR="391A9F44">
              <w:rPr>
                <w:rFonts w:ascii="Century Gothic" w:hAnsi="Century Gothic"/>
                <w:sz w:val="20"/>
                <w:szCs w:val="20"/>
              </w:rPr>
              <w:t>7503</w:t>
            </w:r>
          </w:p>
        </w:tc>
      </w:tr>
      <w:tr w:rsidR="00E66558" w:rsidTr="3CE547C3"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13296E" w:rsidR="00E66558" w:rsidRDefault="009D71E8" w14:paraId="2A7D54DD" w14:textId="77777777">
            <w:pPr>
              <w:pStyle w:val="TableRow"/>
              <w:rPr>
                <w:rFonts w:ascii="Century Gothic" w:hAnsi="Century Gothic"/>
                <w:sz w:val="20"/>
                <w:szCs w:val="20"/>
              </w:rPr>
            </w:pPr>
            <w:r w:rsidRPr="0013296E">
              <w:rPr>
                <w:rFonts w:ascii="Century Gothic" w:hAnsi="Century Gothic"/>
                <w:sz w:val="20"/>
                <w:szCs w:val="20"/>
              </w:rP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DE" w14:textId="1D518F79">
            <w:pPr>
              <w:pStyle w:val="TableRow"/>
              <w:rPr>
                <w:rFonts w:ascii="Century Gothic" w:hAnsi="Century Gothic"/>
                <w:sz w:val="20"/>
                <w:szCs w:val="20"/>
              </w:rPr>
            </w:pPr>
            <w:r w:rsidRPr="3CE547C3" w:rsidR="009D71E8">
              <w:rPr>
                <w:rFonts w:ascii="Century Gothic" w:hAnsi="Century Gothic"/>
                <w:sz w:val="20"/>
                <w:szCs w:val="20"/>
              </w:rPr>
              <w:t>£</w:t>
            </w:r>
            <w:r w:rsidRPr="3CE547C3" w:rsidR="5D8B0464">
              <w:rPr>
                <w:rFonts w:ascii="Century Gothic" w:hAnsi="Century Gothic"/>
                <w:sz w:val="20"/>
                <w:szCs w:val="20"/>
              </w:rPr>
              <w:t>0</w:t>
            </w:r>
          </w:p>
        </w:tc>
      </w:tr>
      <w:tr w:rsidR="00E66558" w:rsidTr="3CE547C3"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E0" w14:textId="77777777">
            <w:pPr>
              <w:pStyle w:val="TableRow"/>
              <w:rPr>
                <w:rFonts w:ascii="Century Gothic" w:hAnsi="Century Gothic"/>
                <w:b/>
                <w:sz w:val="20"/>
                <w:szCs w:val="20"/>
              </w:rPr>
            </w:pPr>
            <w:r w:rsidRPr="0013296E">
              <w:rPr>
                <w:rFonts w:ascii="Century Gothic" w:hAnsi="Century Gothic"/>
                <w:b/>
                <w:sz w:val="20"/>
                <w:szCs w:val="20"/>
              </w:rPr>
              <w:t>Total budget for this academic year</w:t>
            </w:r>
          </w:p>
          <w:p w:rsidRPr="0013296E" w:rsidR="00E66558" w:rsidRDefault="009D71E8" w14:paraId="2A7D54E1" w14:textId="77777777">
            <w:pPr>
              <w:pStyle w:val="TableRow"/>
              <w:rPr>
                <w:rFonts w:ascii="Century Gothic" w:hAnsi="Century Gothic"/>
                <w:sz w:val="20"/>
                <w:szCs w:val="20"/>
              </w:rPr>
            </w:pPr>
            <w:r w:rsidRPr="0013296E">
              <w:rPr>
                <w:rFonts w:ascii="Century Gothic" w:hAnsi="Century Gothic"/>
                <w:sz w:val="20"/>
                <w:szCs w:val="20"/>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E2" w14:textId="494EB0E7">
            <w:pPr>
              <w:pStyle w:val="TableRow"/>
              <w:rPr>
                <w:rFonts w:ascii="Century Gothic" w:hAnsi="Century Gothic"/>
                <w:sz w:val="20"/>
                <w:szCs w:val="20"/>
              </w:rPr>
            </w:pPr>
            <w:r w:rsidRPr="3CE547C3" w:rsidR="009D71E8">
              <w:rPr>
                <w:rFonts w:ascii="Century Gothic" w:hAnsi="Century Gothic"/>
                <w:sz w:val="20"/>
                <w:szCs w:val="20"/>
              </w:rPr>
              <w:t>£</w:t>
            </w:r>
            <w:r w:rsidRPr="3CE547C3" w:rsidR="07E39E3D">
              <w:rPr>
                <w:rFonts w:ascii="Century Gothic" w:hAnsi="Century Gothic"/>
                <w:sz w:val="20"/>
                <w:szCs w:val="20"/>
              </w:rPr>
              <w:t>78100</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6CBAD0E0"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C041DF" w:rsidRDefault="00C041DF" w14:paraId="5C2CA4D8" w14:textId="179D0567">
            <w:pPr>
              <w:spacing w:before="120"/>
              <w:rPr>
                <w:rFonts w:ascii="Century Gothic" w:hAnsi="Century Gothic"/>
                <w:sz w:val="20"/>
                <w:szCs w:val="20"/>
              </w:rPr>
            </w:pPr>
            <w:r w:rsidRPr="0013296E">
              <w:rPr>
                <w:rFonts w:ascii="Century Gothic" w:hAnsi="Century Gothic"/>
                <w:sz w:val="20"/>
                <w:szCs w:val="20"/>
              </w:rPr>
              <w:t xml:space="preserve">Our ultimate aim for disadvantaged children </w:t>
            </w:r>
            <w:r w:rsidRPr="0013296E" w:rsidR="00F662B2">
              <w:rPr>
                <w:rFonts w:ascii="Century Gothic" w:hAnsi="Century Gothic"/>
                <w:sz w:val="20"/>
                <w:szCs w:val="20"/>
              </w:rPr>
              <w:t>is</w:t>
            </w:r>
            <w:r w:rsidRPr="0013296E">
              <w:rPr>
                <w:rFonts w:ascii="Century Gothic" w:hAnsi="Century Gothic"/>
                <w:sz w:val="20"/>
                <w:szCs w:val="20"/>
              </w:rPr>
              <w:t xml:space="preserve"> as follows:</w:t>
            </w:r>
          </w:p>
          <w:p w:rsidRPr="0013296E" w:rsidR="00C041DF" w:rsidP="00C041DF" w:rsidRDefault="3FAA5D89" w14:paraId="1742B418" w14:textId="3895EF67">
            <w:pPr>
              <w:pStyle w:val="ListParagraph"/>
              <w:numPr>
                <w:ilvl w:val="0"/>
                <w:numId w:val="14"/>
              </w:numPr>
              <w:spacing w:before="120"/>
              <w:rPr>
                <w:rFonts w:ascii="Century Gothic" w:hAnsi="Century Gothic"/>
                <w:sz w:val="20"/>
                <w:szCs w:val="20"/>
              </w:rPr>
            </w:pPr>
            <w:r w:rsidRPr="0013296E">
              <w:rPr>
                <w:rFonts w:ascii="Century Gothic" w:hAnsi="Century Gothic"/>
                <w:sz w:val="20"/>
                <w:szCs w:val="20"/>
              </w:rPr>
              <w:t xml:space="preserve">Through consistently high-quality teaching and learning, </w:t>
            </w:r>
            <w:r w:rsidRPr="0013296E" w:rsidR="25C4F674">
              <w:rPr>
                <w:rFonts w:ascii="Century Gothic" w:hAnsi="Century Gothic"/>
                <w:sz w:val="20"/>
                <w:szCs w:val="20"/>
              </w:rPr>
              <w:t>remove</w:t>
            </w:r>
            <w:r w:rsidRPr="0013296E">
              <w:rPr>
                <w:rFonts w:ascii="Century Gothic" w:hAnsi="Century Gothic"/>
                <w:sz w:val="20"/>
                <w:szCs w:val="20"/>
              </w:rPr>
              <w:t xml:space="preserve"> the attainment gap in core subjects between disadvantaged children and their peers. </w:t>
            </w:r>
          </w:p>
          <w:p w:rsidRPr="0013296E" w:rsidR="00C041DF" w:rsidP="00C041DF" w:rsidRDefault="607EF66F" w14:paraId="15901298" w14:textId="62E33206">
            <w:pPr>
              <w:pStyle w:val="ListParagraph"/>
              <w:numPr>
                <w:ilvl w:val="0"/>
                <w:numId w:val="13"/>
              </w:numPr>
              <w:spacing w:before="120"/>
              <w:rPr>
                <w:rFonts w:ascii="Century Gothic" w:hAnsi="Century Gothic"/>
                <w:sz w:val="20"/>
                <w:szCs w:val="20"/>
              </w:rPr>
            </w:pPr>
            <w:r w:rsidRPr="0013296E">
              <w:rPr>
                <w:rFonts w:ascii="Century Gothic" w:hAnsi="Century Gothic"/>
                <w:sz w:val="20"/>
                <w:szCs w:val="20"/>
              </w:rPr>
              <w:t xml:space="preserve">Through a high-quality curriculum and accessible enrichment activities, provide disadvantaged children with the knowledge, skills and cultural capital to succeed at least as well as their peers. </w:t>
            </w:r>
          </w:p>
          <w:p w:rsidRPr="00C041DF" w:rsidR="00E66558" w:rsidP="00C041DF" w:rsidRDefault="607EF66F" w14:paraId="2A7D54E9" w14:textId="2340F847">
            <w:pPr>
              <w:pStyle w:val="ListParagraph"/>
              <w:numPr>
                <w:ilvl w:val="0"/>
                <w:numId w:val="13"/>
              </w:numPr>
              <w:spacing w:before="120"/>
              <w:rPr>
                <w:i/>
                <w:iCs/>
              </w:rPr>
            </w:pPr>
            <w:r w:rsidRPr="0013296E">
              <w:rPr>
                <w:rFonts w:ascii="Century Gothic" w:hAnsi="Century Gothic"/>
                <w:sz w:val="20"/>
                <w:szCs w:val="20"/>
              </w:rPr>
              <w:t>Through a strong PSHE curriculum, health and well-being teaching and a supportive, nurturing environment, enable children to overcome personal challenges and maintain a strong school attendance.</w:t>
            </w:r>
          </w:p>
        </w:tc>
      </w:tr>
    </w:tbl>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23A28D8"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23A28D8"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F0" w14:textId="77777777">
            <w:pPr>
              <w:pStyle w:val="TableRow"/>
              <w:rPr>
                <w:rFonts w:ascii="Century Gothic" w:hAnsi="Century Gothic"/>
                <w:sz w:val="20"/>
                <w:szCs w:val="20"/>
              </w:rPr>
            </w:pPr>
            <w:r w:rsidRPr="0013296E">
              <w:rPr>
                <w:rFonts w:ascii="Century Gothic" w:hAnsi="Century Gothic"/>
                <w:sz w:val="20"/>
                <w:szCs w:val="20"/>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472FE7EB" w14:paraId="2A7D54F1" w14:textId="1A0EF471">
            <w:pPr>
              <w:pStyle w:val="TableRowCentered"/>
              <w:jc w:val="left"/>
              <w:rPr>
                <w:rFonts w:ascii="Century Gothic" w:hAnsi="Century Gothic"/>
                <w:sz w:val="20"/>
              </w:rPr>
            </w:pPr>
            <w:r w:rsidRPr="0013296E">
              <w:rPr>
                <w:rFonts w:ascii="Century Gothic" w:hAnsi="Century Gothic"/>
                <w:sz w:val="20"/>
              </w:rPr>
              <w:t>Attendance of pupil premium children (9</w:t>
            </w:r>
            <w:r w:rsidRPr="0013296E" w:rsidR="11EAE4FE">
              <w:rPr>
                <w:rFonts w:ascii="Century Gothic" w:hAnsi="Century Gothic"/>
                <w:sz w:val="20"/>
              </w:rPr>
              <w:t>3</w:t>
            </w:r>
            <w:r w:rsidRPr="0013296E">
              <w:rPr>
                <w:rFonts w:ascii="Century Gothic" w:hAnsi="Century Gothic"/>
                <w:sz w:val="20"/>
              </w:rPr>
              <w:t>.</w:t>
            </w:r>
            <w:r w:rsidRPr="0013296E" w:rsidR="74266FF8">
              <w:rPr>
                <w:rFonts w:ascii="Century Gothic" w:hAnsi="Century Gothic"/>
                <w:sz w:val="20"/>
              </w:rPr>
              <w:t>6</w:t>
            </w:r>
            <w:r w:rsidRPr="0013296E">
              <w:rPr>
                <w:rFonts w:ascii="Century Gothic" w:hAnsi="Century Gothic"/>
                <w:sz w:val="20"/>
              </w:rPr>
              <w:t>%) during the academic year 202</w:t>
            </w:r>
            <w:r w:rsidRPr="0013296E" w:rsidR="24FD9BBD">
              <w:rPr>
                <w:rFonts w:ascii="Century Gothic" w:hAnsi="Century Gothic"/>
                <w:sz w:val="20"/>
              </w:rPr>
              <w:t>2</w:t>
            </w:r>
            <w:r w:rsidRPr="0013296E">
              <w:rPr>
                <w:rFonts w:ascii="Century Gothic" w:hAnsi="Century Gothic"/>
                <w:sz w:val="20"/>
              </w:rPr>
              <w:t>-202</w:t>
            </w:r>
            <w:r w:rsidRPr="0013296E" w:rsidR="102854EB">
              <w:rPr>
                <w:rFonts w:ascii="Century Gothic" w:hAnsi="Century Gothic"/>
                <w:sz w:val="20"/>
              </w:rPr>
              <w:t>3</w:t>
            </w:r>
            <w:r w:rsidRPr="0013296E">
              <w:rPr>
                <w:rFonts w:ascii="Century Gothic" w:hAnsi="Century Gothic"/>
                <w:sz w:val="20"/>
              </w:rPr>
              <w:t>.</w:t>
            </w:r>
          </w:p>
        </w:tc>
      </w:tr>
      <w:tr w:rsidR="00E66558" w:rsidTr="123A28D8"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F3" w14:textId="77777777">
            <w:pPr>
              <w:pStyle w:val="TableRow"/>
              <w:rPr>
                <w:rFonts w:ascii="Century Gothic" w:hAnsi="Century Gothic"/>
                <w:sz w:val="20"/>
                <w:szCs w:val="20"/>
              </w:rPr>
            </w:pPr>
            <w:r w:rsidRPr="0013296E">
              <w:rPr>
                <w:rFonts w:ascii="Century Gothic" w:hAnsi="Century Gothic"/>
                <w:sz w:val="20"/>
                <w:szCs w:val="20"/>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4F4" w14:textId="4F00D133">
            <w:pPr>
              <w:pStyle w:val="TableRowCentered"/>
              <w:jc w:val="left"/>
              <w:rPr>
                <w:rFonts w:ascii="Century Gothic" w:hAnsi="Century Gothic"/>
                <w:sz w:val="20"/>
              </w:rPr>
            </w:pPr>
            <w:r w:rsidRPr="0013296E">
              <w:rPr>
                <w:rFonts w:ascii="Century Gothic" w:hAnsi="Century Gothic"/>
                <w:sz w:val="20"/>
              </w:rPr>
              <w:t>Low attainment of all children in writing as a result of school closures.</w:t>
            </w:r>
          </w:p>
        </w:tc>
      </w:tr>
      <w:tr w:rsidR="00E66558" w:rsidTr="123A28D8"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F6" w14:textId="77777777">
            <w:pPr>
              <w:pStyle w:val="TableRow"/>
              <w:rPr>
                <w:rFonts w:ascii="Century Gothic" w:hAnsi="Century Gothic"/>
                <w:sz w:val="20"/>
                <w:szCs w:val="20"/>
              </w:rPr>
            </w:pPr>
            <w:r w:rsidRPr="0013296E">
              <w:rPr>
                <w:rFonts w:ascii="Century Gothic" w:hAnsi="Century Gothic"/>
                <w:sz w:val="20"/>
                <w:szCs w:val="20"/>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4F7" w14:textId="43666819">
            <w:pPr>
              <w:pStyle w:val="TableRowCentered"/>
              <w:jc w:val="left"/>
              <w:rPr>
                <w:rFonts w:ascii="Century Gothic" w:hAnsi="Century Gothic"/>
                <w:sz w:val="20"/>
              </w:rPr>
            </w:pPr>
            <w:r w:rsidRPr="0013296E">
              <w:rPr>
                <w:rFonts w:ascii="Century Gothic" w:hAnsi="Century Gothic"/>
                <w:sz w:val="20"/>
              </w:rPr>
              <w:t xml:space="preserve">Gaps in learning in mathematics due to school closures and a remote learning curriculum. </w:t>
            </w:r>
          </w:p>
        </w:tc>
      </w:tr>
      <w:tr w:rsidR="00E66558" w:rsidTr="123A28D8"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F9" w14:textId="77777777">
            <w:pPr>
              <w:pStyle w:val="TableRow"/>
              <w:rPr>
                <w:rFonts w:ascii="Century Gothic" w:hAnsi="Century Gothic"/>
                <w:sz w:val="20"/>
                <w:szCs w:val="20"/>
              </w:rPr>
            </w:pPr>
            <w:r w:rsidRPr="0013296E">
              <w:rPr>
                <w:rFonts w:ascii="Century Gothic" w:hAnsi="Century Gothic"/>
                <w:sz w:val="20"/>
                <w:szCs w:val="20"/>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4FA" w14:textId="062D7360">
            <w:pPr>
              <w:pStyle w:val="TableRowCentered"/>
              <w:jc w:val="left"/>
              <w:rPr>
                <w:rFonts w:ascii="Century Gothic" w:hAnsi="Century Gothic"/>
                <w:iCs/>
                <w:sz w:val="20"/>
              </w:rPr>
            </w:pPr>
            <w:r w:rsidRPr="0013296E">
              <w:rPr>
                <w:rFonts w:ascii="Century Gothic" w:hAnsi="Century Gothic"/>
                <w:iCs/>
                <w:sz w:val="20"/>
              </w:rPr>
              <w:t>Reduced access to high quality enrichment activities due to financial restraints and geographical location.</w:t>
            </w:r>
          </w:p>
        </w:tc>
      </w:tr>
      <w:tr w:rsidR="00E66558" w:rsidTr="123A28D8"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9D71E8" w14:paraId="2A7D54FC" w14:textId="77777777">
            <w:pPr>
              <w:pStyle w:val="TableRow"/>
              <w:rPr>
                <w:rFonts w:ascii="Century Gothic" w:hAnsi="Century Gothic"/>
                <w:sz w:val="20"/>
                <w:szCs w:val="20"/>
              </w:rPr>
            </w:pPr>
            <w:bookmarkStart w:name="_Toc443397160" w:id="16"/>
            <w:r w:rsidRPr="0013296E">
              <w:rPr>
                <w:rFonts w:ascii="Century Gothic" w:hAnsi="Century Gothic"/>
                <w:sz w:val="20"/>
                <w:szCs w:val="20"/>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4FD" w14:textId="0B510257">
            <w:pPr>
              <w:pStyle w:val="TableRowCentered"/>
              <w:jc w:val="left"/>
              <w:rPr>
                <w:rFonts w:ascii="Century Gothic" w:hAnsi="Century Gothic"/>
                <w:iCs/>
                <w:sz w:val="20"/>
              </w:rPr>
            </w:pPr>
            <w:r w:rsidRPr="0013296E">
              <w:rPr>
                <w:rFonts w:ascii="Century Gothic" w:hAnsi="Century Gothic"/>
                <w:iCs/>
                <w:sz w:val="20"/>
              </w:rPr>
              <w:t>Poor mental health and resilience exacerbated by pandemic</w:t>
            </w:r>
          </w:p>
        </w:tc>
      </w:tr>
    </w:tbl>
    <w:p w:rsidR="002173A3" w:rsidRDefault="002173A3" w14:paraId="6578716C" w14:textId="77777777">
      <w:pPr>
        <w:pStyle w:val="Heading2"/>
        <w:spacing w:before="600"/>
      </w:pPr>
    </w:p>
    <w:p w:rsidR="002173A3" w:rsidRDefault="002173A3" w14:paraId="2C344E74" w14:textId="77777777">
      <w:pPr>
        <w:suppressAutoHyphens w:val="0"/>
        <w:spacing w:after="0" w:line="240" w:lineRule="auto"/>
        <w:rPr>
          <w:b/>
          <w:color w:val="104F75"/>
          <w:sz w:val="32"/>
          <w:szCs w:val="32"/>
        </w:rPr>
      </w:pPr>
      <w:r>
        <w:br w:type="page"/>
      </w:r>
    </w:p>
    <w:p w:rsidR="00E66558" w:rsidRDefault="009D71E8" w14:paraId="2A7D54FF" w14:textId="58A42535">
      <w:pPr>
        <w:pStyle w:val="Heading2"/>
        <w:spacing w:before="600"/>
      </w:pPr>
      <w:r>
        <w:lastRenderedPageBreak/>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5F14B68"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5F14B68"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P="003E04A0" w:rsidRDefault="003E04A0" w14:paraId="2A7D5504" w14:textId="4098B41D">
            <w:pPr>
              <w:pStyle w:val="TableRow"/>
              <w:ind w:left="0"/>
              <w:rPr>
                <w:rFonts w:ascii="Century Gothic" w:hAnsi="Century Gothic"/>
                <w:sz w:val="20"/>
                <w:szCs w:val="20"/>
              </w:rPr>
            </w:pPr>
            <w:r w:rsidRPr="0013296E">
              <w:rPr>
                <w:rFonts w:ascii="Century Gothic" w:hAnsi="Century Gothic"/>
                <w:sz w:val="20"/>
                <w:szCs w:val="20"/>
              </w:rPr>
              <w:t>Rapid progress in writing and maths.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BB7193" w14:paraId="2A7D5505" w14:textId="2A429838">
            <w:pPr>
              <w:pStyle w:val="TableRowCentered"/>
              <w:jc w:val="left"/>
              <w:rPr>
                <w:rFonts w:ascii="Century Gothic" w:hAnsi="Century Gothic"/>
                <w:sz w:val="20"/>
              </w:rPr>
            </w:pPr>
            <w:r w:rsidRPr="0013296E">
              <w:rPr>
                <w:rFonts w:ascii="Century Gothic" w:hAnsi="Century Gothic"/>
                <w:sz w:val="20"/>
              </w:rPr>
              <w:t>Disadvantaged pupils will make more than expected progress from their current assessments in September 21</w:t>
            </w:r>
            <w:r w:rsidRPr="0013296E" w:rsidR="79562DC9">
              <w:rPr>
                <w:rFonts w:ascii="Century Gothic" w:hAnsi="Century Gothic"/>
                <w:sz w:val="20"/>
              </w:rPr>
              <w:t xml:space="preserve"> </w:t>
            </w:r>
            <w:r w:rsidRPr="0013296E" w:rsidR="00F662B2">
              <w:rPr>
                <w:rFonts w:ascii="Century Gothic" w:hAnsi="Century Gothic"/>
                <w:sz w:val="20"/>
              </w:rPr>
              <w:t xml:space="preserve">in order to </w:t>
            </w:r>
            <w:r w:rsidRPr="0013296E" w:rsidR="79562DC9">
              <w:rPr>
                <w:rFonts w:ascii="Century Gothic" w:hAnsi="Century Gothic"/>
                <w:sz w:val="20"/>
              </w:rPr>
              <w:t xml:space="preserve"> reach ARE by </w:t>
            </w:r>
            <w:r w:rsidRPr="0013296E" w:rsidR="2D768770">
              <w:rPr>
                <w:rFonts w:ascii="Century Gothic" w:hAnsi="Century Gothic"/>
                <w:sz w:val="20"/>
              </w:rPr>
              <w:t>2</w:t>
            </w:r>
            <w:r w:rsidRPr="0013296E" w:rsidR="79562DC9">
              <w:rPr>
                <w:rFonts w:ascii="Century Gothic" w:hAnsi="Century Gothic"/>
                <w:sz w:val="20"/>
              </w:rPr>
              <w:t xml:space="preserve">024 (except for </w:t>
            </w:r>
            <w:r w:rsidRPr="0013296E" w:rsidR="00F662B2">
              <w:rPr>
                <w:rFonts w:ascii="Century Gothic" w:hAnsi="Century Gothic"/>
                <w:sz w:val="20"/>
              </w:rPr>
              <w:t>identified</w:t>
            </w:r>
            <w:r w:rsidRPr="0013296E" w:rsidR="79562DC9">
              <w:rPr>
                <w:rFonts w:ascii="Century Gothic" w:hAnsi="Century Gothic"/>
                <w:sz w:val="20"/>
              </w:rPr>
              <w:t xml:space="preserve"> SEND)</w:t>
            </w:r>
          </w:p>
        </w:tc>
      </w:tr>
      <w:tr w:rsidR="00E66558" w:rsidTr="15F14B68"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507" w14:textId="7CD734C7">
            <w:pPr>
              <w:pStyle w:val="TableRow"/>
              <w:rPr>
                <w:rFonts w:ascii="Century Gothic" w:hAnsi="Century Gothic"/>
                <w:sz w:val="20"/>
                <w:szCs w:val="20"/>
              </w:rPr>
            </w:pPr>
            <w:r w:rsidRPr="0013296E">
              <w:rPr>
                <w:rFonts w:ascii="Century Gothic" w:hAnsi="Century Gothic"/>
                <w:sz w:val="20"/>
                <w:szCs w:val="20"/>
              </w:rPr>
              <w:t>Increased attendance.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P="00F662B2" w:rsidRDefault="00F662B2" w14:paraId="2A7D5508" w14:textId="4594E056">
            <w:pPr>
              <w:pStyle w:val="TableRowCentered"/>
              <w:jc w:val="left"/>
              <w:rPr>
                <w:rFonts w:ascii="Century Gothic" w:hAnsi="Century Gothic" w:eastAsia="Arial" w:cs="Arial"/>
                <w:color w:val="0D0D0D" w:themeColor="text1" w:themeTint="F2"/>
                <w:sz w:val="20"/>
              </w:rPr>
            </w:pPr>
            <w:r w:rsidRPr="0013296E">
              <w:rPr>
                <w:rFonts w:ascii="Century Gothic" w:hAnsi="Century Gothic" w:eastAsia="Arial" w:cs="Arial"/>
                <w:color w:val="0D0D0D" w:themeColor="text1" w:themeTint="F2"/>
                <w:sz w:val="20"/>
              </w:rPr>
              <w:t>Attendance of all PP children to increase year on year so that this is at</w:t>
            </w:r>
            <w:r w:rsidRPr="0013296E" w:rsidR="519FE56C">
              <w:rPr>
                <w:rFonts w:ascii="Century Gothic" w:hAnsi="Century Gothic" w:eastAsia="Arial" w:cs="Arial"/>
                <w:color w:val="0D0D0D" w:themeColor="text1" w:themeTint="F2"/>
                <w:sz w:val="20"/>
              </w:rPr>
              <w:t xml:space="preserve"> least 96%</w:t>
            </w:r>
            <w:r w:rsidRPr="0013296E">
              <w:rPr>
                <w:rFonts w:ascii="Century Gothic" w:hAnsi="Century Gothic" w:eastAsia="Arial" w:cs="Arial"/>
                <w:color w:val="0D0D0D" w:themeColor="text1" w:themeTint="F2"/>
                <w:sz w:val="20"/>
              </w:rPr>
              <w:t xml:space="preserve"> by 2024.</w:t>
            </w:r>
          </w:p>
        </w:tc>
      </w:tr>
      <w:tr w:rsidR="00E66558" w:rsidTr="15F14B68"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50A" w14:textId="2B5C044F">
            <w:pPr>
              <w:pStyle w:val="TableRow"/>
              <w:rPr>
                <w:rFonts w:ascii="Century Gothic" w:hAnsi="Century Gothic"/>
                <w:sz w:val="20"/>
                <w:szCs w:val="20"/>
              </w:rPr>
            </w:pPr>
            <w:r w:rsidRPr="0013296E">
              <w:rPr>
                <w:rFonts w:ascii="Century Gothic" w:hAnsi="Century Gothic"/>
                <w:sz w:val="20"/>
                <w:szCs w:val="20"/>
              </w:rPr>
              <w:t>Increased cultural capital.</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F662B2" w14:paraId="2A7D550B" w14:textId="0C76EEDF">
            <w:pPr>
              <w:pStyle w:val="TableRowCentered"/>
              <w:jc w:val="left"/>
              <w:rPr>
                <w:rFonts w:ascii="Century Gothic" w:hAnsi="Century Gothic"/>
                <w:sz w:val="20"/>
              </w:rPr>
            </w:pPr>
            <w:r w:rsidRPr="0013296E">
              <w:rPr>
                <w:rFonts w:ascii="Century Gothic" w:hAnsi="Century Gothic"/>
                <w:sz w:val="20"/>
              </w:rPr>
              <w:t xml:space="preserve">As a result of </w:t>
            </w:r>
            <w:r w:rsidRPr="0013296E" w:rsidR="5B3D67EF">
              <w:rPr>
                <w:rFonts w:ascii="Century Gothic" w:hAnsi="Century Gothic"/>
                <w:sz w:val="20"/>
              </w:rPr>
              <w:t>access</w:t>
            </w:r>
            <w:r w:rsidRPr="0013296E">
              <w:rPr>
                <w:rFonts w:ascii="Century Gothic" w:hAnsi="Century Gothic"/>
                <w:sz w:val="20"/>
              </w:rPr>
              <w:t xml:space="preserve"> to</w:t>
            </w:r>
            <w:r w:rsidRPr="0013296E" w:rsidR="5B3D67EF">
              <w:rPr>
                <w:rFonts w:ascii="Century Gothic" w:hAnsi="Century Gothic"/>
                <w:sz w:val="20"/>
              </w:rPr>
              <w:t xml:space="preserve"> wider opportunities within school including visits, visitors, </w:t>
            </w:r>
            <w:r w:rsidRPr="0013296E" w:rsidR="4D3F6B92">
              <w:rPr>
                <w:rFonts w:ascii="Century Gothic" w:hAnsi="Century Gothic"/>
                <w:sz w:val="20"/>
              </w:rPr>
              <w:t>residentials, London</w:t>
            </w:r>
            <w:r w:rsidRPr="0013296E">
              <w:rPr>
                <w:rFonts w:ascii="Century Gothic" w:hAnsi="Century Gothic"/>
                <w:sz w:val="20"/>
              </w:rPr>
              <w:t xml:space="preserve"> visit, children can demonstrate increase cultural capital</w:t>
            </w:r>
          </w:p>
        </w:tc>
      </w:tr>
      <w:tr w:rsidR="00E66558" w:rsidTr="15F14B68"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50D" w14:textId="351C2B3F">
            <w:pPr>
              <w:pStyle w:val="TableRow"/>
              <w:rPr>
                <w:rFonts w:ascii="Century Gothic" w:hAnsi="Century Gothic"/>
                <w:sz w:val="20"/>
                <w:szCs w:val="20"/>
              </w:rPr>
            </w:pPr>
            <w:r w:rsidRPr="0013296E">
              <w:rPr>
                <w:rFonts w:ascii="Century Gothic" w:hAnsi="Century Gothic"/>
                <w:sz w:val="20"/>
                <w:szCs w:val="20"/>
              </w:rPr>
              <w:t>Increased resilience.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P="15F14B68" w:rsidRDefault="7CD815CC" w14:paraId="2A7D550E" w14:textId="17506F46">
            <w:pPr>
              <w:pStyle w:val="TableRowCentered"/>
              <w:ind w:left="0"/>
              <w:jc w:val="left"/>
              <w:rPr>
                <w:rFonts w:ascii="Century Gothic" w:hAnsi="Century Gothic"/>
                <w:sz w:val="20"/>
              </w:rPr>
            </w:pPr>
            <w:r w:rsidRPr="0013296E">
              <w:rPr>
                <w:rFonts w:ascii="Century Gothic" w:hAnsi="Century Gothic"/>
                <w:sz w:val="20"/>
              </w:rPr>
              <w:t>All disadvantaged pupils to be provided with focused teacher support and intervention</w:t>
            </w:r>
            <w:r w:rsidRPr="0013296E" w:rsidR="540EF04A">
              <w:rPr>
                <w:rFonts w:ascii="Century Gothic" w:hAnsi="Century Gothic"/>
                <w:sz w:val="20"/>
              </w:rPr>
              <w:t xml:space="preserve"> in the classroom</w:t>
            </w:r>
            <w:r w:rsidRPr="0013296E">
              <w:rPr>
                <w:rFonts w:ascii="Century Gothic" w:hAnsi="Century Gothic"/>
                <w:sz w:val="20"/>
              </w:rPr>
              <w:t xml:space="preserve"> </w:t>
            </w:r>
            <w:r w:rsidRPr="0013296E" w:rsidR="154383EB">
              <w:rPr>
                <w:rFonts w:ascii="Century Gothic" w:hAnsi="Century Gothic"/>
                <w:sz w:val="20"/>
              </w:rPr>
              <w:t xml:space="preserve">resulting in more than expected progress from current assessments in September 21 </w:t>
            </w:r>
            <w:r w:rsidRPr="0013296E" w:rsidR="00F662B2">
              <w:rPr>
                <w:rFonts w:ascii="Century Gothic" w:hAnsi="Century Gothic"/>
                <w:sz w:val="20"/>
              </w:rPr>
              <w:t>in order to reach</w:t>
            </w:r>
            <w:r w:rsidRPr="0013296E" w:rsidR="154383EB">
              <w:rPr>
                <w:rFonts w:ascii="Century Gothic" w:hAnsi="Century Gothic"/>
                <w:sz w:val="20"/>
              </w:rPr>
              <w:t xml:space="preserve"> ARE by 2024 (except for</w:t>
            </w:r>
            <w:r w:rsidRPr="0013296E" w:rsidR="00F662B2">
              <w:rPr>
                <w:rFonts w:ascii="Century Gothic" w:hAnsi="Century Gothic"/>
                <w:sz w:val="20"/>
              </w:rPr>
              <w:t xml:space="preserve"> identified</w:t>
            </w:r>
            <w:r w:rsidRPr="0013296E" w:rsidR="154383EB">
              <w:rPr>
                <w:rFonts w:ascii="Century Gothic" w:hAnsi="Century Gothic"/>
                <w:sz w:val="20"/>
              </w:rPr>
              <w:t xml:space="preserve"> SEND)</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Pr="002173A3" w:rsidR="00E66558" w:rsidP="123A28D8" w:rsidRDefault="009D71E8" w14:paraId="2A7D5515" w14:textId="0F696002">
      <w:pPr>
        <w:rPr>
          <w:i/>
          <w:iCs/>
        </w:rPr>
      </w:pPr>
      <w:r>
        <w:t>Budgeted cost: £</w:t>
      </w:r>
      <w:r w:rsidR="002173A3">
        <w:t>1</w:t>
      </w:r>
      <w:r w:rsidR="0013296E">
        <w:t>8</w:t>
      </w:r>
      <w:r w:rsidR="002173A3">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23A28D8"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13296E" w:rsidTr="123A28D8" w14:paraId="58263F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RDefault="0013296E" w14:paraId="6FEC06E0" w14:textId="0ECB0C8E">
            <w:pPr>
              <w:pStyle w:val="TableRow"/>
              <w:rPr>
                <w:rFonts w:ascii="Century Gothic" w:hAnsi="Century Gothic"/>
                <w:sz w:val="20"/>
                <w:szCs w:val="20"/>
              </w:rPr>
            </w:pPr>
            <w:r w:rsidRPr="0013296E">
              <w:rPr>
                <w:rFonts w:ascii="Century Gothic" w:hAnsi="Century Gothic"/>
                <w:sz w:val="20"/>
                <w:szCs w:val="20"/>
              </w:rPr>
              <w:t>Recruit new attendance lead</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P="15F14B68" w:rsidRDefault="0013296E" w14:paraId="4CD0A893" w14:textId="703F13F5">
            <w:pPr>
              <w:pStyle w:val="TableRowCentered"/>
              <w:jc w:val="left"/>
              <w:rPr>
                <w:rFonts w:ascii="Century Gothic" w:hAnsi="Century Gothic"/>
                <w:sz w:val="20"/>
              </w:rPr>
            </w:pPr>
            <w:r w:rsidRPr="0013296E">
              <w:rPr>
                <w:rFonts w:ascii="Century Gothic" w:hAnsi="Century Gothic"/>
                <w:sz w:val="20"/>
              </w:rPr>
              <w:t xml:space="preserve">Evidence from the DfE (attendance hubs) demonstrates a range of approached can improve attendance.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RDefault="0013296E" w14:paraId="7BDFEA23" w14:textId="3EED8EB2">
            <w:pPr>
              <w:pStyle w:val="TableRowCentered"/>
              <w:jc w:val="left"/>
              <w:rPr>
                <w:rFonts w:ascii="Century Gothic" w:hAnsi="Century Gothic"/>
                <w:sz w:val="20"/>
              </w:rPr>
            </w:pPr>
            <w:r w:rsidRPr="0013296E">
              <w:rPr>
                <w:rFonts w:ascii="Century Gothic" w:hAnsi="Century Gothic"/>
                <w:sz w:val="20"/>
              </w:rPr>
              <w:t>1</w:t>
            </w:r>
          </w:p>
        </w:tc>
      </w:tr>
      <w:tr w:rsidR="00E66558" w:rsidTr="123A28D8"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3E04A0" w14:paraId="2A7D551A" w14:textId="473A77D2">
            <w:pPr>
              <w:pStyle w:val="TableRow"/>
              <w:rPr>
                <w:rFonts w:ascii="Century Gothic" w:hAnsi="Century Gothic"/>
                <w:sz w:val="20"/>
                <w:szCs w:val="20"/>
              </w:rPr>
            </w:pPr>
            <w:r w:rsidRPr="0013296E">
              <w:rPr>
                <w:rFonts w:ascii="Century Gothic" w:hAnsi="Century Gothic"/>
                <w:sz w:val="20"/>
                <w:szCs w:val="20"/>
              </w:rPr>
              <w:t>Curriculum Development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2F5D2C" w:rsidP="15F14B68" w:rsidRDefault="002F5D2C" w14:paraId="5DD82D22" w14:textId="32E78D6B">
            <w:pPr>
              <w:pStyle w:val="TableRowCentered"/>
              <w:jc w:val="left"/>
              <w:rPr>
                <w:rFonts w:ascii="Century Gothic" w:hAnsi="Century Gothic"/>
                <w:sz w:val="20"/>
              </w:rPr>
            </w:pPr>
            <w:r w:rsidRPr="0013296E">
              <w:rPr>
                <w:rFonts w:ascii="Century Gothic" w:hAnsi="Century Gothic"/>
                <w:sz w:val="20"/>
              </w:rPr>
              <w:t>Ofsted Curriculum Reports</w:t>
            </w:r>
          </w:p>
          <w:p w:rsidRPr="0013296E" w:rsidR="00D704C4" w:rsidP="15F14B68" w:rsidRDefault="00D704C4" w14:paraId="7828FFFC" w14:textId="07742926">
            <w:pPr>
              <w:pStyle w:val="TableRowCentered"/>
              <w:jc w:val="left"/>
              <w:rPr>
                <w:rFonts w:ascii="Century Gothic" w:hAnsi="Century Gothic"/>
                <w:sz w:val="20"/>
              </w:rPr>
            </w:pPr>
            <w:r w:rsidRPr="0013296E">
              <w:rPr>
                <w:rFonts w:ascii="Century Gothic" w:hAnsi="Century Gothic"/>
                <w:sz w:val="20"/>
              </w:rPr>
              <w:t>Best practice in the EYFS</w:t>
            </w:r>
          </w:p>
          <w:p w:rsidRPr="0013296E" w:rsidR="00D704C4" w:rsidP="15F14B68" w:rsidRDefault="00D704C4" w14:paraId="0E5B5A9E" w14:textId="0393CC27">
            <w:pPr>
              <w:pStyle w:val="TableRowCentered"/>
              <w:jc w:val="left"/>
              <w:rPr>
                <w:rFonts w:ascii="Century Gothic" w:hAnsi="Century Gothic"/>
                <w:sz w:val="20"/>
              </w:rPr>
            </w:pPr>
            <w:r w:rsidRPr="0013296E">
              <w:rPr>
                <w:rFonts w:ascii="Century Gothic" w:hAnsi="Century Gothic"/>
                <w:sz w:val="20"/>
              </w:rPr>
              <w:t>Development Matters</w:t>
            </w:r>
          </w:p>
          <w:p w:rsidRPr="0013296E" w:rsidR="00E66558" w:rsidP="002F5D2C" w:rsidRDefault="00D704C4" w14:paraId="2A7D551B" w14:textId="3B4B557D">
            <w:pPr>
              <w:pStyle w:val="TableRowCentered"/>
              <w:jc w:val="left"/>
              <w:rPr>
                <w:rFonts w:ascii="Century Gothic" w:hAnsi="Century Gothic"/>
                <w:sz w:val="20"/>
              </w:rPr>
            </w:pPr>
            <w:r w:rsidRPr="0013296E">
              <w:rPr>
                <w:rFonts w:ascii="Century Gothic" w:hAnsi="Century Gothic"/>
                <w:sz w:val="20"/>
              </w:rPr>
              <w:t>Support from English and Maths Hubs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E66558" w:rsidRDefault="002C3061" w14:paraId="2A7D551C" w14:textId="67BF9F94">
            <w:pPr>
              <w:pStyle w:val="TableRowCentered"/>
              <w:jc w:val="left"/>
              <w:rPr>
                <w:rFonts w:ascii="Century Gothic" w:hAnsi="Century Gothic"/>
                <w:sz w:val="20"/>
              </w:rPr>
            </w:pPr>
            <w:r w:rsidRPr="0013296E">
              <w:rPr>
                <w:rFonts w:ascii="Century Gothic" w:hAnsi="Century Gothic"/>
                <w:sz w:val="20"/>
              </w:rPr>
              <w:t>2, 3, 4</w:t>
            </w:r>
          </w:p>
        </w:tc>
      </w:tr>
      <w:tr w:rsidR="003E04A0" w:rsidTr="123A28D8" w14:paraId="0C127CD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P="15F14B68" w:rsidRDefault="003E04A0" w14:paraId="3A15AC8B" w14:textId="53157EF4">
            <w:pPr>
              <w:pStyle w:val="TableRow"/>
              <w:rPr>
                <w:rFonts w:ascii="Century Gothic" w:hAnsi="Century Gothic"/>
                <w:i/>
                <w:iCs/>
                <w:sz w:val="20"/>
                <w:szCs w:val="20"/>
              </w:rPr>
            </w:pPr>
            <w:r w:rsidRPr="0013296E">
              <w:rPr>
                <w:rFonts w:ascii="Century Gothic" w:hAnsi="Century Gothic"/>
                <w:i/>
                <w:iCs/>
                <w:sz w:val="20"/>
                <w:szCs w:val="20"/>
              </w:rPr>
              <w:t xml:space="preserve">Support for pedagogy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RDefault="00F662B2" w14:paraId="5C6CBA68" w14:textId="77777777">
            <w:pPr>
              <w:pStyle w:val="TableRowCentered"/>
              <w:jc w:val="left"/>
              <w:rPr>
                <w:rFonts w:ascii="Century Gothic" w:hAnsi="Century Gothic"/>
                <w:sz w:val="20"/>
              </w:rPr>
            </w:pPr>
            <w:r w:rsidRPr="0013296E">
              <w:rPr>
                <w:rFonts w:ascii="Century Gothic" w:hAnsi="Century Gothic"/>
                <w:sz w:val="20"/>
              </w:rPr>
              <w:t xml:space="preserve">EEF Toolkit indicates that mastery learning has a very high positive impact. </w:t>
            </w:r>
          </w:p>
          <w:p w:rsidRPr="0013296E" w:rsidR="00F662B2" w:rsidRDefault="00F662B2" w14:paraId="6C892B75" w14:textId="37112230">
            <w:pPr>
              <w:pStyle w:val="TableRowCentered"/>
              <w:jc w:val="left"/>
              <w:rPr>
                <w:rFonts w:ascii="Century Gothic" w:hAnsi="Century Gothic"/>
                <w:sz w:val="20"/>
              </w:rPr>
            </w:pPr>
            <w:proofErr w:type="spellStart"/>
            <w:r w:rsidRPr="0013296E">
              <w:rPr>
                <w:rFonts w:ascii="Century Gothic" w:hAnsi="Century Gothic"/>
                <w:sz w:val="20"/>
              </w:rPr>
              <w:t>Rosenshine’s</w:t>
            </w:r>
            <w:proofErr w:type="spellEnd"/>
            <w:r w:rsidRPr="0013296E">
              <w:rPr>
                <w:rFonts w:ascii="Century Gothic" w:hAnsi="Century Gothic"/>
                <w:sz w:val="20"/>
              </w:rPr>
              <w:t xml:space="preserve"> principals </w:t>
            </w:r>
            <w:r w:rsidRPr="0013296E" w:rsidR="002F5D2C">
              <w:rPr>
                <w:rFonts w:ascii="Century Gothic" w:hAnsi="Century Gothic"/>
                <w:sz w:val="20"/>
              </w:rPr>
              <w:t>are widely recognised for their potential to support teachers in engaging with cognitive science.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RDefault="002C3061" w14:paraId="655514F9" w14:textId="085EFF59">
            <w:pPr>
              <w:pStyle w:val="TableRowCentered"/>
              <w:jc w:val="left"/>
              <w:rPr>
                <w:rFonts w:ascii="Century Gothic" w:hAnsi="Century Gothic"/>
                <w:sz w:val="20"/>
              </w:rPr>
            </w:pPr>
            <w:r w:rsidRPr="0013296E">
              <w:rPr>
                <w:rFonts w:ascii="Century Gothic" w:hAnsi="Century Gothic"/>
                <w:sz w:val="20"/>
              </w:rPr>
              <w:t>2, 3, 4</w:t>
            </w:r>
          </w:p>
        </w:tc>
      </w:tr>
      <w:tr w:rsidR="003E04A0" w:rsidTr="123A28D8" w14:paraId="2CA6DA1A"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RDefault="003E04A0" w14:paraId="0219134D" w14:textId="0DD8C1D7">
            <w:pPr>
              <w:pStyle w:val="TableRow"/>
              <w:rPr>
                <w:rFonts w:ascii="Century Gothic" w:hAnsi="Century Gothic"/>
                <w:i/>
                <w:sz w:val="20"/>
                <w:szCs w:val="20"/>
              </w:rPr>
            </w:pPr>
            <w:r w:rsidRPr="0013296E">
              <w:rPr>
                <w:rFonts w:ascii="Century Gothic" w:hAnsi="Century Gothic"/>
                <w:i/>
                <w:sz w:val="20"/>
                <w:szCs w:val="20"/>
              </w:rPr>
              <w:t>Support for Early Career Teachers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P="15F14B68" w:rsidRDefault="04757497" w14:paraId="1706135E" w14:textId="12AC05D5">
            <w:pPr>
              <w:pStyle w:val="TableRowCentered"/>
              <w:jc w:val="left"/>
              <w:rPr>
                <w:rFonts w:ascii="Century Gothic" w:hAnsi="Century Gothic"/>
                <w:sz w:val="20"/>
              </w:rPr>
            </w:pPr>
            <w:r w:rsidRPr="0013296E">
              <w:rPr>
                <w:rFonts w:ascii="Century Gothic" w:hAnsi="Century Gothic"/>
                <w:sz w:val="20"/>
              </w:rPr>
              <w:t>DfE</w:t>
            </w:r>
            <w:r w:rsidRPr="0013296E" w:rsidR="002F5D2C">
              <w:rPr>
                <w:rFonts w:ascii="Century Gothic" w:hAnsi="Century Gothic"/>
                <w:sz w:val="20"/>
              </w:rPr>
              <w:t xml:space="preserve"> recognise the positive impact of an extended support phase for early career teachers.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RDefault="002C3061" w14:paraId="5F21BEF0" w14:textId="6818FD46">
            <w:pPr>
              <w:pStyle w:val="TableRowCentered"/>
              <w:jc w:val="left"/>
              <w:rPr>
                <w:rFonts w:ascii="Century Gothic" w:hAnsi="Century Gothic"/>
                <w:sz w:val="20"/>
              </w:rPr>
            </w:pPr>
            <w:r w:rsidRPr="0013296E">
              <w:rPr>
                <w:rFonts w:ascii="Century Gothic" w:hAnsi="Century Gothic"/>
                <w:sz w:val="20"/>
              </w:rPr>
              <w:t>2, 3, 4</w:t>
            </w:r>
          </w:p>
        </w:tc>
      </w:tr>
      <w:tr w:rsidR="003E04A0" w:rsidTr="123A28D8" w14:paraId="1B96A5B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P="6CBAD0E0" w:rsidRDefault="4565E150" w14:paraId="7EEF528B" w14:textId="6D254C94">
            <w:pPr>
              <w:pStyle w:val="TableRow"/>
              <w:rPr>
                <w:rFonts w:ascii="Century Gothic" w:hAnsi="Century Gothic"/>
                <w:i/>
                <w:iCs/>
                <w:sz w:val="20"/>
                <w:szCs w:val="20"/>
              </w:rPr>
            </w:pPr>
            <w:r w:rsidRPr="0013296E">
              <w:rPr>
                <w:rFonts w:ascii="Century Gothic" w:hAnsi="Century Gothic"/>
                <w:i/>
                <w:iCs/>
                <w:sz w:val="20"/>
                <w:szCs w:val="20"/>
              </w:rPr>
              <w:t xml:space="preserve">NPQs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P="15F14B68" w:rsidRDefault="002F5D2C" w14:paraId="6557AA22" w14:textId="73C011DC">
            <w:pPr>
              <w:pStyle w:val="TableRowCentered"/>
              <w:jc w:val="left"/>
              <w:rPr>
                <w:rFonts w:ascii="Century Gothic" w:hAnsi="Century Gothic"/>
                <w:sz w:val="20"/>
              </w:rPr>
            </w:pPr>
            <w:r w:rsidRPr="0013296E">
              <w:rPr>
                <w:rFonts w:ascii="Century Gothic" w:hAnsi="Century Gothic"/>
                <w:sz w:val="20"/>
              </w:rPr>
              <w:t>Nationally recognised qualifications</w:t>
            </w:r>
          </w:p>
          <w:p w:rsidRPr="0013296E" w:rsidR="003E04A0" w:rsidP="15F14B68" w:rsidRDefault="11AFC197" w14:paraId="3E3EA092" w14:textId="44CC9B76">
            <w:pPr>
              <w:pStyle w:val="TableRowCentered"/>
              <w:jc w:val="left"/>
              <w:rPr>
                <w:rFonts w:ascii="Century Gothic" w:hAnsi="Century Gothic"/>
                <w:sz w:val="20"/>
              </w:rPr>
            </w:pPr>
            <w:r w:rsidRPr="0013296E">
              <w:rPr>
                <w:rFonts w:ascii="Century Gothic" w:hAnsi="Century Gothic"/>
                <w:sz w:val="20"/>
              </w:rPr>
              <w:t>Statutory Requirement - DfE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3E04A0" w:rsidRDefault="002C3061" w14:paraId="03A2E778" w14:textId="44540AB6">
            <w:pPr>
              <w:pStyle w:val="TableRowCentered"/>
              <w:jc w:val="left"/>
              <w:rPr>
                <w:rFonts w:ascii="Century Gothic" w:hAnsi="Century Gothic"/>
                <w:sz w:val="20"/>
              </w:rPr>
            </w:pPr>
            <w:r w:rsidRPr="0013296E">
              <w:rPr>
                <w:rFonts w:ascii="Century Gothic" w:hAnsi="Century Gothic"/>
                <w:sz w:val="20"/>
              </w:rPr>
              <w:t>2, 3, 4, 5</w:t>
            </w:r>
          </w:p>
        </w:tc>
      </w:tr>
      <w:tr w:rsidR="002C3061" w:rsidTr="123A28D8" w14:paraId="528AC0D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2C3061" w:rsidRDefault="002C3061" w14:paraId="65D8033A" w14:textId="75F955D0">
            <w:pPr>
              <w:pStyle w:val="TableRow"/>
              <w:rPr>
                <w:rFonts w:ascii="Century Gothic" w:hAnsi="Century Gothic"/>
                <w:i/>
                <w:sz w:val="20"/>
                <w:szCs w:val="20"/>
              </w:rPr>
            </w:pPr>
            <w:r w:rsidRPr="0013296E">
              <w:rPr>
                <w:rFonts w:ascii="Century Gothic" w:hAnsi="Century Gothic"/>
                <w:i/>
                <w:sz w:val="20"/>
                <w:szCs w:val="20"/>
              </w:rPr>
              <w:t xml:space="preserve">Little </w:t>
            </w:r>
            <w:proofErr w:type="spellStart"/>
            <w:r w:rsidRPr="0013296E">
              <w:rPr>
                <w:rFonts w:ascii="Century Gothic" w:hAnsi="Century Gothic"/>
                <w:i/>
                <w:sz w:val="20"/>
                <w:szCs w:val="20"/>
              </w:rPr>
              <w:t>Wandle</w:t>
            </w:r>
            <w:proofErr w:type="spellEnd"/>
            <w:r w:rsidRPr="0013296E">
              <w:rPr>
                <w:rFonts w:ascii="Century Gothic" w:hAnsi="Century Gothic"/>
                <w:i/>
                <w:sz w:val="20"/>
                <w:szCs w:val="20"/>
              </w:rPr>
              <w:t xml:space="preserve"> Phonics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62B2" w:rsidP="15F14B68" w:rsidRDefault="00F662B2" w14:paraId="50629B15" w14:textId="345866E9">
            <w:pPr>
              <w:pStyle w:val="TableRowCentered"/>
              <w:ind w:left="0"/>
              <w:jc w:val="left"/>
              <w:rPr>
                <w:rFonts w:ascii="Century Gothic" w:hAnsi="Century Gothic"/>
                <w:sz w:val="20"/>
              </w:rPr>
            </w:pPr>
            <w:r w:rsidRPr="0013296E">
              <w:rPr>
                <w:rFonts w:ascii="Century Gothic" w:hAnsi="Century Gothic"/>
                <w:sz w:val="20"/>
              </w:rPr>
              <w:t xml:space="preserve">EEF Toolkit indicates that high quality phonics teaching has a very high positive impact. </w:t>
            </w:r>
          </w:p>
          <w:p w:rsidRPr="0013296E" w:rsidR="0013296E" w:rsidP="15F14B68" w:rsidRDefault="0013296E" w14:paraId="3E70B663" w14:textId="77777777">
            <w:pPr>
              <w:pStyle w:val="TableRowCentered"/>
              <w:ind w:left="0"/>
              <w:jc w:val="left"/>
              <w:rPr>
                <w:rFonts w:ascii="Century Gothic" w:hAnsi="Century Gothic"/>
                <w:sz w:val="20"/>
              </w:rPr>
            </w:pPr>
          </w:p>
          <w:p w:rsidRPr="0013296E" w:rsidR="002C3061" w:rsidP="15F14B68" w:rsidRDefault="00F662B2" w14:paraId="2B00B71E" w14:textId="585AE261">
            <w:pPr>
              <w:pStyle w:val="TableRowCentered"/>
              <w:ind w:left="0"/>
              <w:jc w:val="left"/>
              <w:rPr>
                <w:rFonts w:ascii="Century Gothic" w:hAnsi="Century Gothic"/>
                <w:sz w:val="20"/>
              </w:rPr>
            </w:pPr>
            <w:r w:rsidRPr="0013296E">
              <w:rPr>
                <w:rFonts w:ascii="Century Gothic" w:hAnsi="Century Gothic"/>
                <w:sz w:val="20"/>
              </w:rPr>
              <w:t xml:space="preserve">Little </w:t>
            </w:r>
            <w:proofErr w:type="spellStart"/>
            <w:r w:rsidRPr="0013296E">
              <w:rPr>
                <w:rFonts w:ascii="Century Gothic" w:hAnsi="Century Gothic"/>
                <w:sz w:val="20"/>
              </w:rPr>
              <w:t>Wandle</w:t>
            </w:r>
            <w:proofErr w:type="spellEnd"/>
            <w:r w:rsidRPr="0013296E">
              <w:rPr>
                <w:rFonts w:ascii="Century Gothic" w:hAnsi="Century Gothic"/>
                <w:sz w:val="20"/>
              </w:rPr>
              <w:t xml:space="preserve"> is a DfE validated scheme.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2C3061" w:rsidRDefault="002C3061" w14:paraId="557DB4B7" w14:textId="672BBF42">
            <w:pPr>
              <w:pStyle w:val="TableRowCentered"/>
              <w:jc w:val="left"/>
              <w:rPr>
                <w:rFonts w:ascii="Century Gothic" w:hAnsi="Century Gothic"/>
                <w:sz w:val="20"/>
              </w:rPr>
            </w:pPr>
            <w:r w:rsidRPr="0013296E">
              <w:rPr>
                <w:rFonts w:ascii="Century Gothic" w:hAnsi="Century Gothic"/>
                <w:sz w:val="20"/>
              </w:rPr>
              <w:t>2</w:t>
            </w:r>
          </w:p>
        </w:tc>
      </w:tr>
      <w:tr w:rsidR="123A28D8" w:rsidTr="123A28D8" w14:paraId="71BE3BE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1FD23418" w:rsidP="123A28D8" w:rsidRDefault="1FD23418" w14:paraId="2A76A74A" w14:textId="53073F1C">
            <w:pPr>
              <w:pStyle w:val="TableRow"/>
              <w:rPr>
                <w:rFonts w:ascii="Century Gothic" w:hAnsi="Century Gothic"/>
                <w:i/>
                <w:iCs/>
                <w:sz w:val="20"/>
                <w:szCs w:val="20"/>
              </w:rPr>
            </w:pPr>
            <w:r w:rsidRPr="0013296E">
              <w:rPr>
                <w:rFonts w:ascii="Century Gothic" w:hAnsi="Century Gothic"/>
                <w:i/>
                <w:iCs/>
                <w:sz w:val="20"/>
                <w:szCs w:val="20"/>
              </w:rPr>
              <w:t>Maths Hub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1FD23418" w:rsidP="123A28D8" w:rsidRDefault="1FD23418" w14:paraId="5B865579" w14:textId="7F902216">
            <w:pPr>
              <w:pStyle w:val="TableRowCentered"/>
              <w:jc w:val="left"/>
              <w:rPr>
                <w:rFonts w:ascii="Century Gothic" w:hAnsi="Century Gothic"/>
                <w:sz w:val="20"/>
              </w:rPr>
            </w:pPr>
            <w:r w:rsidRPr="0013296E">
              <w:rPr>
                <w:rFonts w:ascii="Century Gothic" w:hAnsi="Century Gothic"/>
                <w:sz w:val="20"/>
              </w:rPr>
              <w:t>EEF Toolkit indicates high quality mathematics teaching has a positive impact.</w:t>
            </w:r>
          </w:p>
          <w:p w:rsidRPr="0013296E" w:rsidR="123A28D8" w:rsidP="123A28D8" w:rsidRDefault="123A28D8" w14:paraId="1E55D0EF" w14:textId="3B13B0A1">
            <w:pPr>
              <w:pStyle w:val="TableRowCentered"/>
              <w:jc w:val="left"/>
              <w:rPr>
                <w:rFonts w:ascii="Century Gothic" w:hAnsi="Century Gothic"/>
                <w:sz w:val="20"/>
              </w:rPr>
            </w:pPr>
          </w:p>
          <w:p w:rsidRPr="0013296E" w:rsidR="1FD23418" w:rsidP="123A28D8" w:rsidRDefault="1FD23418" w14:paraId="0665F0FE" w14:textId="3697C762">
            <w:pPr>
              <w:pStyle w:val="TableRowCentered"/>
              <w:jc w:val="left"/>
              <w:rPr>
                <w:rFonts w:ascii="Century Gothic" w:hAnsi="Century Gothic"/>
                <w:sz w:val="20"/>
              </w:rPr>
            </w:pPr>
            <w:r w:rsidRPr="0013296E">
              <w:rPr>
                <w:rFonts w:ascii="Century Gothic" w:hAnsi="Century Gothic"/>
                <w:sz w:val="20"/>
              </w:rPr>
              <w:t xml:space="preserve">NCETM are validated by the DfE.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660A45E1" w:rsidP="123A28D8" w:rsidRDefault="660A45E1" w14:paraId="5FFDD530" w14:textId="28B7EC15">
            <w:pPr>
              <w:pStyle w:val="TableRowCentered"/>
              <w:jc w:val="left"/>
              <w:rPr>
                <w:rFonts w:ascii="Century Gothic" w:hAnsi="Century Gothic"/>
                <w:sz w:val="20"/>
              </w:rPr>
            </w:pPr>
            <w:r w:rsidRPr="0013296E">
              <w:rPr>
                <w:rFonts w:ascii="Century Gothic" w:hAnsi="Century Gothic"/>
                <w:sz w:val="20"/>
              </w:rPr>
              <w:t>3</w:t>
            </w:r>
          </w:p>
        </w:tc>
      </w:tr>
      <w:tr w:rsidR="00D704C4" w:rsidTr="123A28D8" w14:paraId="55CFDE2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D704C4" w:rsidP="123A28D8" w:rsidRDefault="00D704C4" w14:paraId="7CE9B524" w14:textId="6EB65BC7">
            <w:pPr>
              <w:pStyle w:val="TableRow"/>
              <w:rPr>
                <w:rFonts w:ascii="Century Gothic" w:hAnsi="Century Gothic"/>
                <w:i/>
                <w:iCs/>
                <w:sz w:val="20"/>
                <w:szCs w:val="20"/>
              </w:rPr>
            </w:pPr>
            <w:r w:rsidRPr="0013296E">
              <w:rPr>
                <w:rFonts w:ascii="Century Gothic" w:hAnsi="Century Gothic"/>
                <w:i/>
                <w:iCs/>
                <w:sz w:val="20"/>
                <w:szCs w:val="20"/>
              </w:rPr>
              <w:t>English Hub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P="0013296E" w:rsidRDefault="0013296E" w14:paraId="16CC22AD" w14:textId="3C025BDE">
            <w:pPr>
              <w:pStyle w:val="TableRowCentered"/>
              <w:jc w:val="left"/>
              <w:rPr>
                <w:rFonts w:ascii="Century Gothic" w:hAnsi="Century Gothic"/>
                <w:sz w:val="20"/>
              </w:rPr>
            </w:pPr>
            <w:r w:rsidRPr="0013296E">
              <w:rPr>
                <w:rFonts w:ascii="Century Gothic" w:hAnsi="Century Gothic"/>
                <w:sz w:val="20"/>
              </w:rPr>
              <w:t xml:space="preserve">EEF Toolkit indicates high quality </w:t>
            </w:r>
            <w:r w:rsidRPr="0013296E">
              <w:rPr>
                <w:rFonts w:ascii="Century Gothic" w:hAnsi="Century Gothic"/>
                <w:sz w:val="20"/>
              </w:rPr>
              <w:t>English</w:t>
            </w:r>
            <w:r w:rsidRPr="0013296E">
              <w:rPr>
                <w:rFonts w:ascii="Century Gothic" w:hAnsi="Century Gothic"/>
                <w:sz w:val="20"/>
              </w:rPr>
              <w:t xml:space="preserve"> teaching has a positive impact.</w:t>
            </w:r>
          </w:p>
          <w:p w:rsidRPr="0013296E" w:rsidR="0013296E" w:rsidP="0013296E" w:rsidRDefault="0013296E" w14:paraId="305B01AB" w14:textId="77777777">
            <w:pPr>
              <w:pStyle w:val="TableRowCentered"/>
              <w:rPr>
                <w:rFonts w:ascii="Century Gothic" w:hAnsi="Century Gothic"/>
                <w:sz w:val="20"/>
              </w:rPr>
            </w:pPr>
          </w:p>
          <w:p w:rsidRPr="0013296E" w:rsidR="00D704C4" w:rsidP="0013296E" w:rsidRDefault="0013296E" w14:paraId="2CD725C2" w14:textId="36E59E21">
            <w:pPr>
              <w:pStyle w:val="TableRowCentered"/>
              <w:jc w:val="left"/>
              <w:rPr>
                <w:rFonts w:ascii="Century Gothic" w:hAnsi="Century Gothic"/>
                <w:sz w:val="20"/>
              </w:rPr>
            </w:pPr>
            <w:r w:rsidRPr="0013296E">
              <w:rPr>
                <w:rFonts w:ascii="Century Gothic" w:hAnsi="Century Gothic"/>
                <w:sz w:val="20"/>
              </w:rPr>
              <w:t>English hubs</w:t>
            </w:r>
            <w:r w:rsidRPr="0013296E">
              <w:rPr>
                <w:rFonts w:ascii="Century Gothic" w:hAnsi="Century Gothic"/>
                <w:sz w:val="20"/>
              </w:rPr>
              <w:t xml:space="preserve"> are validated by the DfE.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D704C4" w:rsidP="123A28D8" w:rsidRDefault="0013296E" w14:paraId="54D04ABC" w14:textId="21F03BA5">
            <w:pPr>
              <w:pStyle w:val="TableRowCentered"/>
              <w:jc w:val="left"/>
              <w:rPr>
                <w:rFonts w:ascii="Century Gothic" w:hAnsi="Century Gothic"/>
                <w:sz w:val="20"/>
              </w:rPr>
            </w:pPr>
            <w:r w:rsidRPr="0013296E">
              <w:rPr>
                <w:rFonts w:ascii="Century Gothic" w:hAnsi="Century Gothic"/>
                <w:sz w:val="20"/>
              </w:rPr>
              <w:t>3</w:t>
            </w:r>
          </w:p>
        </w:tc>
      </w:tr>
      <w:tr w:rsidR="0013296E" w:rsidTr="123A28D8" w14:paraId="6E950B5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P="123A28D8" w:rsidRDefault="0013296E" w14:paraId="73867A2E" w14:textId="3CC6EC4B">
            <w:pPr>
              <w:pStyle w:val="TableRow"/>
              <w:rPr>
                <w:rFonts w:ascii="Century Gothic" w:hAnsi="Century Gothic"/>
                <w:i/>
                <w:iCs/>
                <w:sz w:val="20"/>
                <w:szCs w:val="20"/>
              </w:rPr>
            </w:pPr>
            <w:r w:rsidRPr="0013296E">
              <w:rPr>
                <w:rFonts w:ascii="Century Gothic" w:hAnsi="Century Gothic"/>
                <w:i/>
                <w:iCs/>
                <w:sz w:val="20"/>
                <w:szCs w:val="20"/>
              </w:rPr>
              <w:t>Developing Middle Leaders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P="0013296E" w:rsidRDefault="0013296E" w14:paraId="090A2CBA" w14:textId="53E5901D">
            <w:pPr>
              <w:pStyle w:val="TableRowCentered"/>
              <w:jc w:val="left"/>
              <w:rPr>
                <w:rFonts w:ascii="Century Gothic" w:hAnsi="Century Gothic"/>
                <w:sz w:val="20"/>
              </w:rPr>
            </w:pPr>
            <w:r w:rsidRPr="0013296E">
              <w:rPr>
                <w:rFonts w:ascii="Century Gothic" w:hAnsi="Century Gothic"/>
                <w:sz w:val="20"/>
              </w:rPr>
              <w:t xml:space="preserve">Middle leaders to work for maths and English hubs. Evidence from DfE </w:t>
            </w:r>
            <w:r>
              <w:rPr>
                <w:rFonts w:ascii="Century Gothic" w:hAnsi="Century Gothic"/>
                <w:sz w:val="20"/>
              </w:rPr>
              <w:t xml:space="preserve">and EEF </w:t>
            </w:r>
            <w:r w:rsidRPr="0013296E">
              <w:rPr>
                <w:rFonts w:ascii="Century Gothic" w:hAnsi="Century Gothic"/>
                <w:sz w:val="20"/>
              </w:rPr>
              <w:t xml:space="preserve">demonstrates upskilled leaders increase quality of teaching in schools.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3296E" w:rsidR="0013296E" w:rsidP="123A28D8" w:rsidRDefault="0013296E" w14:paraId="66629257" w14:textId="180BA597">
            <w:pPr>
              <w:pStyle w:val="TableRowCentered"/>
              <w:jc w:val="left"/>
              <w:rPr>
                <w:rFonts w:ascii="Century Gothic" w:hAnsi="Century Gothic"/>
                <w:sz w:val="20"/>
              </w:rPr>
            </w:pPr>
            <w:r w:rsidRPr="0013296E">
              <w:rPr>
                <w:rFonts w:ascii="Century Gothic" w:hAnsi="Century Gothic"/>
                <w:sz w:val="20"/>
              </w:rPr>
              <w:t>2,3,4</w:t>
            </w:r>
          </w:p>
        </w:tc>
      </w:tr>
    </w:tbl>
    <w:p w:rsidR="00E66558" w:rsidRDefault="00E66558" w14:paraId="2A7D5522" w14:textId="77777777">
      <w:pPr>
        <w:keepNext/>
        <w:spacing w:after="60"/>
        <w:outlineLvl w:val="1"/>
      </w:pPr>
    </w:p>
    <w:p w:rsidR="002173A3" w:rsidRDefault="002173A3" w14:paraId="7280CAED" w14:textId="77777777">
      <w:pPr>
        <w:suppressAutoHyphens w:val="0"/>
        <w:spacing w:after="0" w:line="240" w:lineRule="auto"/>
        <w:rPr>
          <w:b/>
          <w:bCs/>
          <w:color w:val="104F75"/>
          <w:sz w:val="28"/>
          <w:szCs w:val="28"/>
        </w:rPr>
      </w:pPr>
      <w:r>
        <w:rPr>
          <w:b/>
          <w:bCs/>
          <w:color w:val="104F75"/>
          <w:sz w:val="28"/>
          <w:szCs w:val="28"/>
        </w:rPr>
        <w:br w:type="page"/>
      </w:r>
    </w:p>
    <w:p w:rsidR="00E66558" w:rsidRDefault="009D71E8" w14:paraId="2A7D5523" w14:textId="6DB276B4">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Pr="002173A3" w:rsidR="00E66558" w:rsidP="123A28D8" w:rsidRDefault="009D71E8" w14:paraId="2A7D5524" w14:textId="2AACAF2F">
      <w:pPr>
        <w:rPr>
          <w:i/>
          <w:iCs/>
        </w:rPr>
      </w:pPr>
      <w:r>
        <w:t xml:space="preserve">Budgeted cost: £ </w:t>
      </w:r>
      <w:r w:rsidR="0013296E">
        <w:rPr>
          <w:i/>
          <w:iCs/>
        </w:rPr>
        <w:t>50</w:t>
      </w:r>
      <w:r w:rsidRPr="123A28D8" w:rsidR="002173A3">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5F14B68"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15F14B68"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29" w14:textId="000B0032">
            <w:pPr>
              <w:pStyle w:val="TableRow"/>
            </w:pPr>
            <w:r>
              <w:t>TAs in class</w:t>
            </w:r>
            <w:r w:rsidR="2A4496E2">
              <w:t xml:space="preserve"> to support with same day </w:t>
            </w:r>
            <w:r w:rsidR="15E00421">
              <w:t xml:space="preserve">‘keep up not catch up’ support </w:t>
            </w:r>
            <w:r w:rsidR="2A4496E2">
              <w:t>and closing specific gaps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2A4496E2" w14:paraId="0DC783A2" w14:textId="78BBAC32">
            <w:pPr>
              <w:pStyle w:val="TableRowCentered"/>
              <w:jc w:val="left"/>
              <w:rPr>
                <w:rFonts w:eastAsia="Arial" w:cs="Arial"/>
                <w:color w:val="0D0D0D" w:themeColor="text1" w:themeTint="F2"/>
                <w:sz w:val="22"/>
                <w:szCs w:val="22"/>
              </w:rPr>
            </w:pPr>
            <w:r w:rsidRPr="15F14B68">
              <w:rPr>
                <w:rFonts w:eastAsia="Arial" w:cs="Arial"/>
                <w:color w:val="0D0D0D" w:themeColor="text1" w:themeTint="F2"/>
                <w:sz w:val="22"/>
                <w:szCs w:val="22"/>
              </w:rPr>
              <w:t xml:space="preserve">DFE Maths Hub </w:t>
            </w:r>
          </w:p>
          <w:p w:rsidR="00E66558" w:rsidP="15F14B68" w:rsidRDefault="2A4496E2" w14:paraId="4B1D49C7" w14:textId="2568D23B">
            <w:pPr>
              <w:pStyle w:val="TableRowCentered"/>
              <w:jc w:val="left"/>
              <w:rPr>
                <w:rFonts w:eastAsia="Arial" w:cs="Arial"/>
                <w:color w:val="0D0D0D" w:themeColor="text1" w:themeTint="F2"/>
                <w:sz w:val="22"/>
                <w:szCs w:val="22"/>
              </w:rPr>
            </w:pPr>
            <w:r w:rsidRPr="15F14B68">
              <w:rPr>
                <w:rFonts w:eastAsia="Arial" w:cs="Arial"/>
                <w:color w:val="0D0D0D" w:themeColor="text1" w:themeTint="F2"/>
                <w:sz w:val="22"/>
                <w:szCs w:val="22"/>
              </w:rPr>
              <w:t>DFE English Hub</w:t>
            </w:r>
          </w:p>
          <w:p w:rsidR="00E66558" w:rsidP="15F14B68" w:rsidRDefault="2A4496E2" w14:paraId="2A7D552A" w14:textId="529C1012">
            <w:pPr>
              <w:pStyle w:val="TableRowCentered"/>
              <w:jc w:val="left"/>
              <w:rPr>
                <w:sz w:val="22"/>
                <w:szCs w:val="22"/>
              </w:rPr>
            </w:pPr>
            <w:r w:rsidRPr="15F14B68">
              <w:rPr>
                <w:sz w:val="22"/>
                <w:szCs w:val="22"/>
              </w:rPr>
              <w:t xml:space="preserve">EEF research – interventions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2B" w14:textId="68F3CA29">
            <w:pPr>
              <w:pStyle w:val="TableRowCentered"/>
              <w:jc w:val="left"/>
              <w:rPr>
                <w:sz w:val="22"/>
              </w:rPr>
            </w:pPr>
            <w:r>
              <w:rPr>
                <w:sz w:val="22"/>
              </w:rPr>
              <w:t>2, 3, 5</w:t>
            </w:r>
          </w:p>
        </w:tc>
      </w:tr>
      <w:tr w:rsidR="00E66558" w:rsidTr="15F14B68"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F5D2C" w14:paraId="2A7D552D" w14:textId="4A3D0768">
            <w:pPr>
              <w:pStyle w:val="TableRow"/>
              <w:rPr>
                <w:i/>
                <w:sz w:val="22"/>
              </w:rPr>
            </w:pPr>
            <w:r>
              <w:rPr>
                <w:i/>
                <w:sz w:val="22"/>
              </w:rPr>
              <w:t xml:space="preserve">Targeted, structured </w:t>
            </w:r>
            <w:r w:rsidR="003E04A0">
              <w:rPr>
                <w:i/>
                <w:sz w:val="22"/>
              </w:rPr>
              <w:t>Interventions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02117E49" w14:paraId="2A7D552E" w14:textId="06619976">
            <w:pPr>
              <w:pStyle w:val="TableRowCentered"/>
              <w:jc w:val="left"/>
              <w:rPr>
                <w:sz w:val="22"/>
                <w:szCs w:val="22"/>
              </w:rPr>
            </w:pPr>
            <w:r w:rsidRPr="15F14B68">
              <w:rPr>
                <w:sz w:val="22"/>
                <w:szCs w:val="22"/>
              </w:rPr>
              <w:t>EEF research – interventions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2F" w14:textId="55A65BB2">
            <w:pPr>
              <w:pStyle w:val="TableRowCentered"/>
              <w:jc w:val="left"/>
              <w:rPr>
                <w:sz w:val="22"/>
              </w:rPr>
            </w:pPr>
            <w:r>
              <w:rPr>
                <w:sz w:val="22"/>
              </w:rPr>
              <w:t>2, 3</w:t>
            </w: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Pr="002173A3" w:rsidR="00E66558" w:rsidP="15F14B68" w:rsidRDefault="009D71E8" w14:paraId="2A7D5533" w14:textId="383E0574">
      <w:pPr>
        <w:spacing w:before="240" w:after="120"/>
        <w:rPr>
          <w:i/>
          <w:iCs/>
        </w:rPr>
      </w:pPr>
      <w:r w:rsidRPr="002173A3">
        <w:t>Budgeted cost: £</w:t>
      </w:r>
      <w:r w:rsidRPr="002173A3" w:rsidR="002173A3">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5F14B68"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15F14B68"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38" w14:textId="582A7068">
            <w:pPr>
              <w:pStyle w:val="TableRow"/>
            </w:pPr>
            <w:r>
              <w:rPr>
                <w:i/>
                <w:iCs/>
                <w:sz w:val="22"/>
                <w:szCs w:val="22"/>
              </w:rPr>
              <w:t>Boxall Profile and teaching adjustments.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0FFD9FDF" w14:paraId="2A7D5539" w14:textId="30E6E259">
            <w:pPr>
              <w:pStyle w:val="TableRowCentered"/>
              <w:jc w:val="left"/>
              <w:rPr>
                <w:sz w:val="22"/>
                <w:szCs w:val="22"/>
              </w:rPr>
            </w:pPr>
            <w:r w:rsidRPr="15F14B68">
              <w:rPr>
                <w:sz w:val="22"/>
                <w:szCs w:val="22"/>
              </w:rPr>
              <w:t>Nurture UK – research based</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3A" w14:textId="371C6BEA">
            <w:pPr>
              <w:pStyle w:val="TableRowCentered"/>
              <w:jc w:val="left"/>
              <w:rPr>
                <w:sz w:val="22"/>
              </w:rPr>
            </w:pPr>
            <w:r>
              <w:rPr>
                <w:sz w:val="22"/>
              </w:rPr>
              <w:t>1, 5</w:t>
            </w:r>
          </w:p>
        </w:tc>
      </w:tr>
      <w:tr w:rsidR="00E66558" w:rsidTr="15F14B68"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3C" w14:textId="23D69FA4">
            <w:pPr>
              <w:pStyle w:val="TableRow"/>
              <w:rPr>
                <w:i/>
                <w:sz w:val="22"/>
              </w:rPr>
            </w:pPr>
            <w:r>
              <w:rPr>
                <w:i/>
                <w:sz w:val="22"/>
              </w:rPr>
              <w:t>Dedicated attendance lead time.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7BD4D034" w14:paraId="2A7D553D" w14:textId="0832DC46">
            <w:pPr>
              <w:pStyle w:val="TableRowCentered"/>
              <w:jc w:val="left"/>
              <w:rPr>
                <w:sz w:val="22"/>
                <w:szCs w:val="22"/>
              </w:rPr>
            </w:pPr>
            <w:r w:rsidRPr="15F14B68">
              <w:rPr>
                <w:sz w:val="22"/>
                <w:szCs w:val="22"/>
              </w:rPr>
              <w:t>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3E" w14:textId="30492B12">
            <w:pPr>
              <w:pStyle w:val="TableRowCentered"/>
              <w:jc w:val="left"/>
              <w:rPr>
                <w:sz w:val="22"/>
              </w:rPr>
            </w:pPr>
            <w:r>
              <w:rPr>
                <w:sz w:val="22"/>
              </w:rPr>
              <w:t>1, 5</w:t>
            </w:r>
          </w:p>
        </w:tc>
      </w:tr>
      <w:tr w:rsidR="003E04A0" w:rsidTr="15F14B68" w14:paraId="5C9A97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0DB592DB" w14:textId="2E9F0A9E">
            <w:pPr>
              <w:pStyle w:val="TableRow"/>
              <w:rPr>
                <w:i/>
                <w:sz w:val="22"/>
              </w:rPr>
            </w:pPr>
            <w:r>
              <w:rPr>
                <w:i/>
                <w:sz w:val="22"/>
              </w:rPr>
              <w:t>Healthy Schools Gold, RRSA, Sports Award</w:t>
            </w:r>
          </w:p>
        </w:tc>
        <w:tc>
          <w:tcPr>
            <w:tcW w:w="425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47375B" w:rsidP="15F14B68" w:rsidRDefault="3747375B" w14:paraId="177DA75B" w14:textId="18D1C07D">
            <w:pPr>
              <w:pStyle w:val="TableRowCentered"/>
              <w:spacing w:line="259" w:lineRule="auto"/>
              <w:jc w:val="left"/>
              <w:rPr>
                <w:sz w:val="22"/>
                <w:szCs w:val="22"/>
              </w:rPr>
            </w:pPr>
            <w:r w:rsidRPr="15F14B68">
              <w:rPr>
                <w:sz w:val="22"/>
                <w:szCs w:val="22"/>
              </w:rPr>
              <w:t xml:space="preserve">EEF - </w:t>
            </w:r>
            <w:r w:rsidRPr="15F14B68" w:rsidR="1947F5DD">
              <w:rPr>
                <w:sz w:val="22"/>
                <w:szCs w:val="22"/>
              </w:rPr>
              <w:t>Research shows that participation in extra-curricular activities can positively impact on attainment, increase a pupil’s positive identification with school, and build self-confidence and resilience. Research also shows that children that do not have access to these opportunities fall behind, lack confidence, and fail to develop career aspirations. The resulting attainment gap is so significant that 25% of children from the most disadvantaged backgrounds achieve below expected attainment levels.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791CB00B" w14:textId="7B61A40C">
            <w:pPr>
              <w:pStyle w:val="TableRowCentered"/>
              <w:jc w:val="left"/>
              <w:rPr>
                <w:sz w:val="22"/>
              </w:rPr>
            </w:pPr>
            <w:r>
              <w:rPr>
                <w:sz w:val="22"/>
              </w:rPr>
              <w:t>1, 5</w:t>
            </w:r>
          </w:p>
        </w:tc>
      </w:tr>
      <w:tr w:rsidR="003E04A0" w:rsidTr="15F14B68" w14:paraId="44AFC57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7BC07810" w14:textId="78F89E7A">
            <w:pPr>
              <w:pStyle w:val="TableRow"/>
              <w:rPr>
                <w:i/>
                <w:sz w:val="22"/>
              </w:rPr>
            </w:pPr>
            <w:r>
              <w:rPr>
                <w:i/>
                <w:sz w:val="22"/>
              </w:rPr>
              <w:t>Children’s University</w:t>
            </w:r>
          </w:p>
        </w:tc>
        <w:tc>
          <w:tcPr>
            <w:tcW w:w="4254" w:type="dxa"/>
            <w:vMerge/>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21CB0A88" w14:textId="77777777">
            <w:pPr>
              <w:pStyle w:val="TableRowCentered"/>
              <w:jc w:val="left"/>
              <w:rPr>
                <w:sz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055FBBAE" w14:textId="21355736">
            <w:pPr>
              <w:pStyle w:val="TableRowCentered"/>
              <w:jc w:val="left"/>
              <w:rPr>
                <w:sz w:val="22"/>
              </w:rPr>
            </w:pPr>
            <w:r>
              <w:rPr>
                <w:sz w:val="22"/>
              </w:rPr>
              <w:t>1, 4, 5</w:t>
            </w:r>
          </w:p>
        </w:tc>
      </w:tr>
      <w:tr w:rsidR="003E04A0" w:rsidTr="15F14B68" w14:paraId="3877B62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027B983D" w14:textId="3C007E61">
            <w:pPr>
              <w:pStyle w:val="TableRow"/>
              <w:rPr>
                <w:i/>
                <w:sz w:val="22"/>
              </w:rPr>
            </w:pPr>
            <w:r>
              <w:rPr>
                <w:i/>
                <w:sz w:val="22"/>
              </w:rPr>
              <w:t>Funded places at breakfast/after school club</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P="15F14B68" w:rsidRDefault="4CC859FC" w14:paraId="5A8C1D1F" w14:textId="2D893DD0">
            <w:pPr>
              <w:pStyle w:val="TableRowCentered"/>
              <w:jc w:val="left"/>
              <w:rPr>
                <w:sz w:val="22"/>
                <w:szCs w:val="22"/>
              </w:rPr>
            </w:pPr>
            <w:r w:rsidRPr="15F14B68">
              <w:rPr>
                <w:sz w:val="22"/>
                <w:szCs w:val="22"/>
              </w:rPr>
              <w:t>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4C461A9C" w14:textId="60FDD94C">
            <w:pPr>
              <w:pStyle w:val="TableRowCentered"/>
              <w:jc w:val="left"/>
              <w:rPr>
                <w:sz w:val="22"/>
              </w:rPr>
            </w:pPr>
            <w:r>
              <w:rPr>
                <w:sz w:val="22"/>
              </w:rPr>
              <w:t>1, 4, 5</w:t>
            </w:r>
          </w:p>
        </w:tc>
      </w:tr>
    </w:tbl>
    <w:p w:rsidR="0013296E" w:rsidP="15F14B68" w:rsidRDefault="0013296E" w14:paraId="701F1652" w14:textId="77777777">
      <w:pPr>
        <w:rPr>
          <w:b/>
          <w:bCs/>
          <w:color w:val="104F75"/>
          <w:sz w:val="28"/>
          <w:szCs w:val="28"/>
        </w:rPr>
      </w:pPr>
    </w:p>
    <w:p w:rsidRPr="002173A3" w:rsidR="00E66558" w:rsidP="15F14B68" w:rsidRDefault="009D71E8" w14:paraId="2A7D5541" w14:textId="7F4EA160">
      <w:pPr>
        <w:rPr>
          <w:i/>
          <w:iCs/>
          <w:color w:val="104F75"/>
          <w:sz w:val="28"/>
          <w:szCs w:val="28"/>
        </w:rPr>
      </w:pPr>
      <w:r w:rsidRPr="002173A3">
        <w:rPr>
          <w:b/>
          <w:bCs/>
          <w:color w:val="104F75"/>
          <w:sz w:val="28"/>
          <w:szCs w:val="28"/>
        </w:rPr>
        <w:lastRenderedPageBreak/>
        <w:t>Total budgeted cost: £</w:t>
      </w:r>
      <w:r w:rsidR="0013296E">
        <w:rPr>
          <w:i/>
          <w:iCs/>
          <w:color w:val="104F75"/>
          <w:sz w:val="28"/>
          <w:szCs w:val="28"/>
        </w:rPr>
        <w:t>92</w:t>
      </w:r>
      <w:r w:rsidRPr="002173A3" w:rsidR="002173A3">
        <w:rPr>
          <w:i/>
          <w:iCs/>
          <w:color w:val="104F75"/>
          <w:sz w:val="28"/>
          <w:szCs w:val="28"/>
        </w:rPr>
        <w:t>,000</w:t>
      </w:r>
    </w:p>
    <w:tbl>
      <w:tblPr>
        <w:tblW w:w="9938" w:type="dxa"/>
        <w:tblCellMar>
          <w:left w:w="10" w:type="dxa"/>
          <w:right w:w="10" w:type="dxa"/>
        </w:tblCellMar>
        <w:tblLook w:val="04A0" w:firstRow="1" w:lastRow="0" w:firstColumn="1" w:lastColumn="0" w:noHBand="0" w:noVBand="1"/>
      </w:tblPr>
      <w:tblGrid>
        <w:gridCol w:w="9938"/>
      </w:tblGrid>
      <w:tr w:rsidR="00E66558" w:rsidTr="6CBAD0E0" w14:paraId="2A7D5547" w14:textId="77777777">
        <w:trPr>
          <w:trHeight w:val="1102"/>
        </w:trPr>
        <w:tc>
          <w:tcPr>
            <w:tcW w:w="9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14213" w:rsidP="00314213" w:rsidRDefault="009D71E8" w14:paraId="0A9F62B4" w14:textId="77777777">
            <w:pPr>
              <w:pStyle w:val="Heading2"/>
              <w:spacing w:before="0" w:after="0"/>
            </w:pPr>
            <w:r>
              <w:t>Part B: Review of outcomes in the previous academic year</w:t>
            </w:r>
          </w:p>
          <w:p w:rsidR="002173A3" w:rsidP="00314213" w:rsidRDefault="00314213" w14:paraId="0CC02ADB" w14:textId="4E6B6F73">
            <w:pPr>
              <w:pStyle w:val="Heading2"/>
              <w:spacing w:before="0" w:after="0"/>
              <w:rPr>
                <w:sz w:val="24"/>
                <w:szCs w:val="24"/>
              </w:rPr>
            </w:pPr>
            <w:r>
              <w:rPr>
                <w:sz w:val="24"/>
                <w:szCs w:val="24"/>
              </w:rPr>
              <w:t>T</w:t>
            </w:r>
            <w:r w:rsidR="002173A3">
              <w:rPr>
                <w:sz w:val="24"/>
                <w:szCs w:val="24"/>
              </w:rPr>
              <w:t>argeted academic support for current academic year</w:t>
            </w:r>
          </w:p>
          <w:tbl>
            <w:tblPr>
              <w:tblW w:w="9712" w:type="dxa"/>
              <w:tblCellMar>
                <w:left w:w="10" w:type="dxa"/>
                <w:right w:w="10" w:type="dxa"/>
              </w:tblCellMar>
              <w:tblLook w:val="04A0" w:firstRow="1" w:lastRow="0" w:firstColumn="1" w:lastColumn="0" w:noHBand="0" w:noVBand="1"/>
            </w:tblPr>
            <w:tblGrid>
              <w:gridCol w:w="2470"/>
              <w:gridCol w:w="3450"/>
              <w:gridCol w:w="3792"/>
            </w:tblGrid>
            <w:tr w:rsidR="002173A3" w:rsidTr="6CBAD0E0" w14:paraId="1535E04F" w14:textId="77777777">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2173A3" w:rsidP="002173A3" w:rsidRDefault="002173A3" w14:paraId="4338CA8E" w14:textId="77777777">
                  <w:pPr>
                    <w:pStyle w:val="TableRow"/>
                  </w:pPr>
                  <w:r>
                    <w:rPr>
                      <w:rFonts w:ascii="Garamond" w:hAnsi="Garamond"/>
                      <w:b/>
                    </w:rPr>
                    <w:t>Measure</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2173A3" w:rsidP="002173A3" w:rsidRDefault="002173A3" w14:paraId="74BF8FDC" w14:textId="77777777">
                  <w:pPr>
                    <w:pStyle w:val="TableRow"/>
                  </w:pPr>
                  <w:r>
                    <w:rPr>
                      <w:rFonts w:ascii="Garamond" w:hAnsi="Garamond"/>
                      <w:b/>
                    </w:rPr>
                    <w:t>Activity</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002173A3" w:rsidP="002173A3" w:rsidRDefault="002173A3" w14:paraId="73FEE8CC" w14:textId="77777777">
                  <w:pPr>
                    <w:pStyle w:val="TableRow"/>
                    <w:rPr>
                      <w:rFonts w:ascii="Garamond" w:hAnsi="Garamond"/>
                      <w:b/>
                    </w:rPr>
                  </w:pPr>
                  <w:r>
                    <w:rPr>
                      <w:rFonts w:ascii="Garamond" w:hAnsi="Garamond"/>
                      <w:b/>
                    </w:rPr>
                    <w:t>Review</w:t>
                  </w:r>
                </w:p>
              </w:tc>
            </w:tr>
            <w:tr w:rsidR="002173A3" w:rsidTr="6CBAD0E0" w14:paraId="69E8A952" w14:textId="77777777">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13296E" w:rsidR="002173A3" w:rsidP="002173A3" w:rsidRDefault="002173A3" w14:paraId="4EEAF676" w14:textId="77777777">
                  <w:pPr>
                    <w:pStyle w:val="TableRow"/>
                    <w:rPr>
                      <w:rFonts w:ascii="Century Gothic" w:hAnsi="Century Gothic" w:cs="Calibri"/>
                      <w:color w:val="auto"/>
                      <w:sz w:val="20"/>
                      <w:szCs w:val="20"/>
                    </w:rPr>
                  </w:pPr>
                  <w:r w:rsidRPr="0013296E">
                    <w:rPr>
                      <w:rFonts w:ascii="Century Gothic" w:hAnsi="Century Gothic" w:cs="Calibri"/>
                      <w:color w:val="auto"/>
                      <w:sz w:val="20"/>
                      <w:szCs w:val="20"/>
                    </w:rPr>
                    <w:t>Priority 1</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13296E" w:rsidR="002173A3" w:rsidP="002173A3" w:rsidRDefault="004D435E" w14:paraId="26FDFCD0" w14:textId="4F9E893D">
                  <w:pPr>
                    <w:pStyle w:val="TableRow"/>
                    <w:rPr>
                      <w:rFonts w:ascii="Century Gothic" w:hAnsi="Century Gothic"/>
                      <w:color w:val="auto"/>
                      <w:sz w:val="20"/>
                      <w:szCs w:val="20"/>
                    </w:rPr>
                  </w:pPr>
                  <w:r w:rsidRPr="0013296E">
                    <w:rPr>
                      <w:rFonts w:ascii="Century Gothic" w:hAnsi="Century Gothic"/>
                      <w:color w:val="auto"/>
                      <w:sz w:val="20"/>
                      <w:szCs w:val="20"/>
                    </w:rPr>
                    <w:t>Sustain and increase working hours of attendance lead in order to improve attendance of disadvantaged children and improve pastoral/parental support.</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Pr="0013296E" w:rsidR="002173A3" w:rsidP="002173A3" w:rsidRDefault="00B710D5" w14:paraId="657F90F3" w14:textId="69780152">
                  <w:pPr>
                    <w:pStyle w:val="TableRow"/>
                    <w:rPr>
                      <w:rFonts w:ascii="Century Gothic" w:hAnsi="Century Gothic"/>
                      <w:color w:val="auto"/>
                      <w:sz w:val="20"/>
                      <w:szCs w:val="20"/>
                    </w:rPr>
                  </w:pPr>
                  <w:r w:rsidRPr="0013296E">
                    <w:rPr>
                      <w:rFonts w:ascii="Century Gothic" w:hAnsi="Century Gothic"/>
                      <w:color w:val="auto"/>
                      <w:sz w:val="20"/>
                      <w:szCs w:val="20"/>
                    </w:rPr>
                    <w:t xml:space="preserve">The newly appointed DHT is the new attendance lead. The DHT is given time each day to improve the attendance of disadvantaged pupils. Strategies implemented by the DHT have risen attendance from 89% to 95% over the course of the academic year. Additional strategies have been planned for this academic year. </w:t>
                  </w:r>
                </w:p>
              </w:tc>
            </w:tr>
            <w:tr w:rsidR="002173A3" w:rsidTr="6CBAD0E0" w14:paraId="615B629D" w14:textId="77777777">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13296E" w:rsidR="002173A3" w:rsidP="002173A3" w:rsidRDefault="002173A3" w14:paraId="1DB48FF9" w14:textId="77777777">
                  <w:pPr>
                    <w:pStyle w:val="TableRow"/>
                    <w:rPr>
                      <w:rFonts w:ascii="Century Gothic" w:hAnsi="Century Gothic" w:cs="Calibri"/>
                      <w:color w:val="auto"/>
                      <w:sz w:val="20"/>
                      <w:szCs w:val="20"/>
                    </w:rPr>
                  </w:pPr>
                  <w:r w:rsidRPr="0013296E">
                    <w:rPr>
                      <w:rFonts w:ascii="Century Gothic" w:hAnsi="Century Gothic" w:cs="Calibri"/>
                      <w:color w:val="auto"/>
                      <w:sz w:val="20"/>
                      <w:szCs w:val="20"/>
                    </w:rPr>
                    <w:t>Priority 2</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13296E" w:rsidR="002173A3" w:rsidP="002173A3" w:rsidRDefault="007C779B" w14:paraId="33040D7D" w14:textId="72444CC4">
                  <w:pPr>
                    <w:pStyle w:val="TableRow"/>
                    <w:rPr>
                      <w:rFonts w:ascii="Century Gothic" w:hAnsi="Century Gothic"/>
                      <w:color w:val="auto"/>
                      <w:sz w:val="20"/>
                      <w:szCs w:val="20"/>
                    </w:rPr>
                  </w:pPr>
                  <w:r w:rsidRPr="0013296E">
                    <w:rPr>
                      <w:rFonts w:ascii="Century Gothic" w:hAnsi="Century Gothic"/>
                      <w:color w:val="auto"/>
                      <w:sz w:val="20"/>
                      <w:szCs w:val="20"/>
                    </w:rPr>
                    <w:t xml:space="preserve">Re-develop the reading and writing curriculum that builds skills progressively. </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Pr="0013296E" w:rsidR="002173A3" w:rsidP="002173A3" w:rsidRDefault="007C779B" w14:paraId="3D863992" w14:textId="2BC9B8ED">
                  <w:pPr>
                    <w:pStyle w:val="TableRow"/>
                    <w:rPr>
                      <w:rFonts w:ascii="Century Gothic" w:hAnsi="Century Gothic"/>
                      <w:color w:val="auto"/>
                      <w:sz w:val="20"/>
                      <w:szCs w:val="20"/>
                    </w:rPr>
                  </w:pPr>
                  <w:r w:rsidRPr="0013296E">
                    <w:rPr>
                      <w:rFonts w:ascii="Century Gothic" w:hAnsi="Century Gothic"/>
                      <w:color w:val="auto"/>
                      <w:sz w:val="20"/>
                      <w:szCs w:val="20"/>
                    </w:rPr>
                    <w:t xml:space="preserve">This academic year, results in all key stages have risen. At the end of KS2 82% of pupils passed the KS2 assessments with 20% achieving a GD score. Disadvantages progress and attainment in writing was better than national. </w:t>
                  </w:r>
                </w:p>
              </w:tc>
            </w:tr>
            <w:tr w:rsidR="0013296E" w:rsidTr="004222F7" w14:paraId="55694413" w14:textId="77777777">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13296E" w:rsidR="0013296E" w:rsidP="0013296E" w:rsidRDefault="0013296E" w14:paraId="09E3134E" w14:textId="77777777">
                  <w:pPr>
                    <w:pStyle w:val="TableRow"/>
                    <w:rPr>
                      <w:rFonts w:ascii="Century Gothic" w:hAnsi="Century Gothic" w:cs="Calibri"/>
                      <w:color w:val="auto"/>
                      <w:sz w:val="20"/>
                      <w:szCs w:val="20"/>
                    </w:rPr>
                  </w:pPr>
                  <w:r w:rsidRPr="0013296E">
                    <w:rPr>
                      <w:rFonts w:ascii="Century Gothic" w:hAnsi="Century Gothic" w:cs="Calibri"/>
                      <w:color w:val="auto"/>
                      <w:sz w:val="20"/>
                      <w:szCs w:val="20"/>
                    </w:rPr>
                    <w:t>Barriers to learning these priorities address</w:t>
                  </w:r>
                </w:p>
              </w:tc>
              <w:tc>
                <w:tcPr>
                  <w:tcW w:w="3450" w:type="dxa"/>
                  <w:tcBorders>
                    <w:top w:val="single" w:color="BFBFBF" w:sz="6" w:space="0"/>
                    <w:left w:val="single" w:color="BFBFBF" w:sz="6" w:space="0"/>
                    <w:bottom w:val="single" w:color="BFBFBF" w:sz="6" w:space="0"/>
                    <w:right w:val="single" w:color="BFBFBF" w:sz="6" w:space="0"/>
                  </w:tcBorders>
                  <w:shd w:val="clear" w:color="auto" w:fill="auto"/>
                  <w:tcMar>
                    <w:top w:w="0" w:type="dxa"/>
                    <w:left w:w="108" w:type="dxa"/>
                    <w:bottom w:w="0" w:type="dxa"/>
                    <w:right w:w="108" w:type="dxa"/>
                  </w:tcMar>
                </w:tcPr>
                <w:p w:rsidRPr="0013296E" w:rsidR="0013296E" w:rsidP="0013296E" w:rsidRDefault="0013296E" w14:paraId="67684AE2" w14:textId="1BAF42BC">
                  <w:pPr>
                    <w:pStyle w:val="TableRow"/>
                    <w:rPr>
                      <w:rFonts w:ascii="Century Gothic" w:hAnsi="Century Gothic"/>
                      <w:color w:val="auto"/>
                      <w:sz w:val="20"/>
                      <w:szCs w:val="20"/>
                    </w:rPr>
                  </w:pPr>
                  <w:r w:rsidRPr="0013296E">
                    <w:rPr>
                      <w:rStyle w:val="normaltextrun"/>
                      <w:rFonts w:ascii="Century Gothic" w:hAnsi="Century Gothic" w:cs="Segoe UI"/>
                      <w:sz w:val="20"/>
                      <w:szCs w:val="20"/>
                    </w:rPr>
                    <w:t>Ensuring that staff work/life balance is maintained whilst introducing new initiatives in challenging circumstances.</w:t>
                  </w:r>
                  <w:r w:rsidRPr="0013296E">
                    <w:rPr>
                      <w:rStyle w:val="eop"/>
                      <w:rFonts w:ascii="Century Gothic" w:hAnsi="Century Gothic" w:cs="Segoe UI"/>
                      <w:sz w:val="20"/>
                      <w:szCs w:val="20"/>
                    </w:rPr>
                    <w:t> </w:t>
                  </w:r>
                </w:p>
              </w:tc>
              <w:tc>
                <w:tcPr>
                  <w:tcW w:w="3792" w:type="dxa"/>
                  <w:tcBorders>
                    <w:top w:val="single" w:color="BFBFBF" w:sz="6" w:space="0"/>
                    <w:left w:val="single" w:color="BFBFBF" w:sz="6" w:space="0"/>
                    <w:bottom w:val="single" w:color="BFBFBF" w:sz="6" w:space="0"/>
                    <w:right w:val="single" w:color="BFBFBF" w:sz="6" w:space="0"/>
                  </w:tcBorders>
                  <w:shd w:val="clear" w:color="auto" w:fill="auto"/>
                  <w:tcMar>
                    <w:top w:w="0" w:type="dxa"/>
                    <w:left w:w="10" w:type="dxa"/>
                    <w:bottom w:w="0" w:type="dxa"/>
                    <w:right w:w="10" w:type="dxa"/>
                  </w:tcMar>
                </w:tcPr>
                <w:p w:rsidRPr="0013296E" w:rsidR="0013296E" w:rsidP="0013296E" w:rsidRDefault="0013296E" w14:paraId="270DBF1B" w14:textId="2D9FF379">
                  <w:pPr>
                    <w:pStyle w:val="TableRow"/>
                    <w:rPr>
                      <w:rFonts w:ascii="Century Gothic" w:hAnsi="Century Gothic"/>
                      <w:color w:val="auto"/>
                      <w:sz w:val="20"/>
                      <w:szCs w:val="20"/>
                    </w:rPr>
                  </w:pPr>
                  <w:r w:rsidRPr="0013296E">
                    <w:rPr>
                      <w:rStyle w:val="normaltextrun"/>
                      <w:rFonts w:ascii="Century Gothic" w:hAnsi="Century Gothic" w:cs="Segoe UI"/>
                      <w:sz w:val="20"/>
                      <w:szCs w:val="20"/>
                    </w:rPr>
                    <w:t>Staff well-being surveys show that staff feel well supported by the school and that additional workload is offset with well-being strategies. </w:t>
                  </w:r>
                  <w:r w:rsidRPr="0013296E">
                    <w:rPr>
                      <w:rStyle w:val="eop"/>
                      <w:rFonts w:ascii="Century Gothic" w:hAnsi="Century Gothic" w:cs="Segoe UI"/>
                      <w:sz w:val="20"/>
                      <w:szCs w:val="20"/>
                    </w:rPr>
                    <w:t> </w:t>
                  </w:r>
                </w:p>
              </w:tc>
            </w:tr>
          </w:tbl>
          <w:p w:rsidR="002173A3" w:rsidP="002173A3" w:rsidRDefault="002173A3" w14:paraId="07A42D65" w14:textId="77777777">
            <w:pPr>
              <w:pStyle w:val="Heading2"/>
              <w:rPr>
                <w:sz w:val="24"/>
                <w:szCs w:val="24"/>
              </w:rPr>
            </w:pPr>
            <w:r>
              <w:rPr>
                <w:sz w:val="24"/>
                <w:szCs w:val="24"/>
              </w:rPr>
              <w:t>Wider strategies for current academic year</w:t>
            </w:r>
          </w:p>
          <w:tbl>
            <w:tblPr>
              <w:tblW w:w="9712" w:type="dxa"/>
              <w:tblCellMar>
                <w:left w:w="10" w:type="dxa"/>
                <w:right w:w="10" w:type="dxa"/>
              </w:tblCellMar>
              <w:tblLook w:val="04A0" w:firstRow="1" w:lastRow="0" w:firstColumn="1" w:lastColumn="0" w:noHBand="0" w:noVBand="1"/>
            </w:tblPr>
            <w:tblGrid>
              <w:gridCol w:w="2455"/>
              <w:gridCol w:w="3465"/>
              <w:gridCol w:w="3792"/>
            </w:tblGrid>
            <w:tr w:rsidR="002173A3" w:rsidTr="000771FD" w14:paraId="6BEBA4BA" w14:textId="77777777">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173A3" w:rsidP="002173A3" w:rsidRDefault="002173A3" w14:paraId="406E3709" w14:textId="77777777">
                  <w:pPr>
                    <w:pStyle w:val="TableRow"/>
                    <w:rPr>
                      <w:rFonts w:ascii="Garamond" w:hAnsi="Garamond"/>
                      <w:b/>
                    </w:rPr>
                  </w:pPr>
                  <w:r>
                    <w:rPr>
                      <w:rFonts w:ascii="Garamond" w:hAnsi="Garamond"/>
                      <w:b/>
                    </w:rPr>
                    <w:t>Measure</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173A3" w:rsidP="002173A3" w:rsidRDefault="002173A3" w14:paraId="5F4228B6" w14:textId="77777777">
                  <w:pPr>
                    <w:pStyle w:val="TableRow"/>
                    <w:rPr>
                      <w:rFonts w:ascii="Garamond" w:hAnsi="Garamond"/>
                      <w:b/>
                    </w:rPr>
                  </w:pPr>
                  <w:r>
                    <w:rPr>
                      <w:rFonts w:ascii="Garamond" w:hAnsi="Garamond"/>
                      <w:b/>
                    </w:rPr>
                    <w:t>Activity</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002173A3" w:rsidP="002173A3" w:rsidRDefault="002173A3" w14:paraId="0820C329" w14:textId="77777777">
                  <w:pPr>
                    <w:pStyle w:val="TableRow"/>
                    <w:rPr>
                      <w:rFonts w:ascii="Garamond" w:hAnsi="Garamond"/>
                      <w:b/>
                    </w:rPr>
                  </w:pPr>
                  <w:r>
                    <w:rPr>
                      <w:rFonts w:ascii="Garamond" w:hAnsi="Garamond"/>
                      <w:b/>
                    </w:rPr>
                    <w:t>April Review</w:t>
                  </w:r>
                </w:p>
              </w:tc>
            </w:tr>
            <w:tr w:rsidR="002173A3" w:rsidTr="00314213" w14:paraId="65763DDB" w14:textId="77777777">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3296E" w:rsidR="002173A3" w:rsidP="002173A3" w:rsidRDefault="002173A3" w14:paraId="4A1B738C" w14:textId="77777777">
                  <w:pPr>
                    <w:pStyle w:val="TableRow"/>
                    <w:ind w:left="0"/>
                    <w:rPr>
                      <w:rFonts w:ascii="Century Gothic" w:hAnsi="Century Gothic" w:cs="Calibri"/>
                      <w:color w:val="auto"/>
                      <w:sz w:val="20"/>
                      <w:szCs w:val="20"/>
                    </w:rPr>
                  </w:pPr>
                  <w:r w:rsidRPr="0013296E">
                    <w:rPr>
                      <w:rFonts w:ascii="Century Gothic" w:hAnsi="Century Gothic" w:cs="Calibri"/>
                      <w:color w:val="auto"/>
                      <w:sz w:val="20"/>
                      <w:szCs w:val="20"/>
                    </w:rPr>
                    <w:t>Priority 1</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3296E" w:rsidR="002173A3" w:rsidP="002173A3" w:rsidRDefault="002173A3" w14:paraId="1A2CA4FE" w14:textId="77777777">
                  <w:pPr>
                    <w:pStyle w:val="TableRow"/>
                    <w:ind w:left="0"/>
                    <w:rPr>
                      <w:rFonts w:ascii="Century Gothic" w:hAnsi="Century Gothic"/>
                      <w:color w:val="auto"/>
                      <w:sz w:val="20"/>
                      <w:szCs w:val="20"/>
                    </w:rPr>
                  </w:pPr>
                  <w:r w:rsidRPr="0013296E">
                    <w:rPr>
                      <w:rFonts w:ascii="Century Gothic" w:hAnsi="Century Gothic"/>
                      <w:color w:val="auto"/>
                      <w:sz w:val="20"/>
                      <w:szCs w:val="20"/>
                    </w:rPr>
                    <w:t xml:space="preserve">Sustain and increase working hours of attendance lead in order to improve attendance of disadvantaged children and improve pastoral/parental support. </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13296E" w:rsidR="002173A3" w:rsidP="002173A3" w:rsidRDefault="002173A3" w14:paraId="3DC263AA" w14:textId="77777777">
                  <w:pPr>
                    <w:pStyle w:val="TableRow"/>
                    <w:ind w:left="0"/>
                    <w:rPr>
                      <w:rFonts w:ascii="Century Gothic" w:hAnsi="Century Gothic"/>
                      <w:color w:val="auto"/>
                      <w:sz w:val="20"/>
                      <w:szCs w:val="20"/>
                    </w:rPr>
                  </w:pPr>
                  <w:r w:rsidRPr="0013296E">
                    <w:rPr>
                      <w:rFonts w:ascii="Century Gothic" w:hAnsi="Century Gothic"/>
                      <w:color w:val="auto"/>
                      <w:sz w:val="20"/>
                      <w:szCs w:val="20"/>
                    </w:rPr>
                    <w:t>Now referred to as the ‘Attendance and Engagement Lead’, this role has been invaluable during school closures and as children return. Attendance since schools reopened has been strong with numerous strategies in place to sustain and improve this further.</w:t>
                  </w:r>
                </w:p>
              </w:tc>
            </w:tr>
            <w:tr w:rsidR="002173A3" w:rsidTr="00314213" w14:paraId="1EBBBFE2" w14:textId="77777777">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3296E" w:rsidR="002173A3" w:rsidP="002173A3" w:rsidRDefault="002173A3" w14:paraId="042FF73E" w14:textId="77777777">
                  <w:pPr>
                    <w:pStyle w:val="TableRow"/>
                    <w:ind w:left="0"/>
                    <w:rPr>
                      <w:rFonts w:ascii="Century Gothic" w:hAnsi="Century Gothic" w:cs="Calibri"/>
                      <w:color w:val="auto"/>
                      <w:sz w:val="20"/>
                      <w:szCs w:val="20"/>
                    </w:rPr>
                  </w:pPr>
                  <w:r w:rsidRPr="0013296E">
                    <w:rPr>
                      <w:rFonts w:ascii="Century Gothic" w:hAnsi="Century Gothic" w:cs="Calibri"/>
                      <w:color w:val="auto"/>
                      <w:sz w:val="20"/>
                      <w:szCs w:val="20"/>
                    </w:rPr>
                    <w:t>Priority 2</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3296E" w:rsidR="002173A3" w:rsidP="002173A3" w:rsidRDefault="002173A3" w14:paraId="3F2CC297" w14:textId="77777777">
                  <w:pPr>
                    <w:pStyle w:val="TableRow"/>
                    <w:ind w:left="0"/>
                    <w:rPr>
                      <w:rFonts w:ascii="Century Gothic" w:hAnsi="Century Gothic"/>
                      <w:color w:val="auto"/>
                      <w:sz w:val="20"/>
                      <w:szCs w:val="20"/>
                    </w:rPr>
                  </w:pPr>
                  <w:r w:rsidRPr="0013296E">
                    <w:rPr>
                      <w:rFonts w:ascii="Century Gothic" w:hAnsi="Century Gothic"/>
                      <w:color w:val="auto"/>
                      <w:sz w:val="20"/>
                      <w:szCs w:val="20"/>
                    </w:rPr>
                    <w:t>Increase the school’s capacity to support children’s mental health and well-being through training, support and resources.</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002173A3" w:rsidP="002173A3" w:rsidRDefault="002173A3" w14:paraId="4647F48A" w14:textId="77777777">
                  <w:pPr>
                    <w:pStyle w:val="TableRow"/>
                    <w:ind w:left="0"/>
                    <w:rPr>
                      <w:rFonts w:ascii="Century Gothic" w:hAnsi="Century Gothic"/>
                      <w:color w:val="auto"/>
                      <w:sz w:val="20"/>
                      <w:szCs w:val="20"/>
                    </w:rPr>
                  </w:pPr>
                  <w:r w:rsidRPr="0013296E">
                    <w:rPr>
                      <w:rFonts w:ascii="Century Gothic" w:hAnsi="Century Gothic"/>
                      <w:color w:val="auto"/>
                      <w:sz w:val="20"/>
                      <w:szCs w:val="20"/>
                    </w:rPr>
                    <w:t xml:space="preserve">The school has provided weekly well-being support throughout school closures and now reopening. The school has committed to significant training through Nurture UK </w:t>
                  </w:r>
                  <w:r w:rsidRPr="0013296E" w:rsidR="00314213">
                    <w:rPr>
                      <w:rFonts w:ascii="Century Gothic" w:hAnsi="Century Gothic"/>
                      <w:color w:val="auto"/>
                      <w:sz w:val="20"/>
                      <w:szCs w:val="20"/>
                    </w:rPr>
                    <w:t xml:space="preserve">throughout the summer term and into the next academic year. </w:t>
                  </w:r>
                </w:p>
                <w:p w:rsidRPr="0013296E" w:rsidR="0013296E" w:rsidP="002173A3" w:rsidRDefault="0013296E" w14:paraId="3331F61F" w14:textId="2B5F9FC0">
                  <w:pPr>
                    <w:pStyle w:val="TableRow"/>
                    <w:ind w:left="0"/>
                    <w:rPr>
                      <w:rFonts w:ascii="Century Gothic" w:hAnsi="Century Gothic"/>
                      <w:color w:val="auto"/>
                      <w:sz w:val="20"/>
                      <w:szCs w:val="20"/>
                    </w:rPr>
                  </w:pPr>
                  <w:r>
                    <w:rPr>
                      <w:rFonts w:ascii="Century Gothic" w:hAnsi="Century Gothic"/>
                      <w:color w:val="auto"/>
                      <w:sz w:val="20"/>
                      <w:szCs w:val="20"/>
                    </w:rPr>
                    <w:t xml:space="preserve">School has formed links for free counselling sessions and pupils accesses these when required. </w:t>
                  </w:r>
                </w:p>
              </w:tc>
            </w:tr>
            <w:tr w:rsidR="002173A3" w:rsidTr="000771FD" w14:paraId="54E12D04" w14:textId="77777777">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3296E" w:rsidR="002173A3" w:rsidP="002173A3" w:rsidRDefault="002173A3" w14:paraId="23BCF28E" w14:textId="77777777">
                  <w:pPr>
                    <w:pStyle w:val="TableRow"/>
                    <w:ind w:left="0"/>
                    <w:rPr>
                      <w:rFonts w:ascii="Century Gothic" w:hAnsi="Century Gothic" w:cs="Calibri"/>
                      <w:color w:val="auto"/>
                      <w:sz w:val="20"/>
                      <w:szCs w:val="20"/>
                    </w:rPr>
                  </w:pPr>
                  <w:r w:rsidRPr="0013296E">
                    <w:rPr>
                      <w:rFonts w:ascii="Century Gothic" w:hAnsi="Century Gothic" w:cs="Calibri"/>
                      <w:color w:val="auto"/>
                      <w:sz w:val="20"/>
                      <w:szCs w:val="20"/>
                    </w:rPr>
                    <w:t>Barriers to learning these priorities address</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3296E" w:rsidR="002173A3" w:rsidP="002173A3" w:rsidRDefault="002173A3" w14:paraId="22B206EE" w14:textId="77777777">
                  <w:pPr>
                    <w:pStyle w:val="TableRow"/>
                    <w:ind w:left="0"/>
                    <w:rPr>
                      <w:rFonts w:ascii="Century Gothic" w:hAnsi="Century Gothic"/>
                      <w:color w:val="auto"/>
                      <w:sz w:val="20"/>
                      <w:szCs w:val="20"/>
                    </w:rPr>
                  </w:pPr>
                  <w:r w:rsidRPr="0013296E">
                    <w:rPr>
                      <w:rStyle w:val="PlaceholderText"/>
                      <w:rFonts w:ascii="Century Gothic" w:hAnsi="Century Gothic"/>
                      <w:color w:val="auto"/>
                      <w:sz w:val="20"/>
                      <w:szCs w:val="20"/>
                    </w:rPr>
                    <w:t>A group of hard to reach parents.</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13296E" w:rsidR="002173A3" w:rsidP="002173A3" w:rsidRDefault="002173A3" w14:paraId="22C0AE08" w14:textId="77777777">
                  <w:pPr>
                    <w:pStyle w:val="TableRow"/>
                    <w:ind w:left="0"/>
                    <w:rPr>
                      <w:rFonts w:ascii="Century Gothic" w:hAnsi="Century Gothic"/>
                      <w:color w:val="auto"/>
                      <w:sz w:val="20"/>
                      <w:szCs w:val="20"/>
                    </w:rPr>
                  </w:pPr>
                  <w:r w:rsidRPr="0013296E">
                    <w:rPr>
                      <w:rStyle w:val="PlaceholderText"/>
                      <w:rFonts w:ascii="Century Gothic" w:hAnsi="Century Gothic"/>
                      <w:color w:val="auto"/>
                      <w:sz w:val="20"/>
                      <w:szCs w:val="20"/>
                    </w:rPr>
                    <w:t>The attendance lead has built up positive and effective relationships with the significant majority of these parents.</w:t>
                  </w:r>
                </w:p>
              </w:tc>
            </w:tr>
          </w:tbl>
          <w:p w:rsidR="00E66558" w:rsidRDefault="00E66558" w14:paraId="2A7D5546" w14:textId="1B7E4306"/>
        </w:tc>
      </w:tr>
      <w:bookmarkEnd w:id="14"/>
      <w:bookmarkEnd w:id="15"/>
      <w:bookmarkEnd w:id="16"/>
    </w:tbl>
    <w:p w:rsidR="00E66558" w:rsidRDefault="00E66558" w14:paraId="2A7D555F" w14:textId="77777777">
      <w:pPr>
        <w:spacing w:after="0" w:line="240" w:lineRule="auto"/>
      </w:pPr>
    </w:p>
    <w:sectPr w:rsidR="00E66558">
      <w:headerReference w:type="default" r:id="rId10"/>
      <w:footerReference w:type="default" r:id="rId1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69D" w:rsidRDefault="0062469D" w14:paraId="7120792A" w14:textId="77777777">
      <w:pPr>
        <w:spacing w:after="0" w:line="240" w:lineRule="auto"/>
      </w:pPr>
      <w:r>
        <w:separator/>
      </w:r>
    </w:p>
  </w:endnote>
  <w:endnote w:type="continuationSeparator" w:id="0">
    <w:p w:rsidR="0062469D" w:rsidRDefault="0062469D" w14:paraId="612240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69D" w:rsidRDefault="0062469D" w14:paraId="3A6F0F03" w14:textId="77777777">
      <w:pPr>
        <w:spacing w:after="0" w:line="240" w:lineRule="auto"/>
      </w:pPr>
      <w:r>
        <w:separator/>
      </w:r>
    </w:p>
  </w:footnote>
  <w:footnote w:type="continuationSeparator" w:id="0">
    <w:p w:rsidR="0062469D" w:rsidRDefault="0062469D" w14:paraId="787340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62469D"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BC6304"/>
    <w:multiLevelType w:val="hybridMultilevel"/>
    <w:tmpl w:val="945AC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884E8"/>
    <w:rsid w:val="00101AD8"/>
    <w:rsid w:val="00120AB1"/>
    <w:rsid w:val="0013296E"/>
    <w:rsid w:val="002173A3"/>
    <w:rsid w:val="002C0983"/>
    <w:rsid w:val="002C3061"/>
    <w:rsid w:val="002F5D2C"/>
    <w:rsid w:val="00314213"/>
    <w:rsid w:val="003E04A0"/>
    <w:rsid w:val="004044AA"/>
    <w:rsid w:val="004D435E"/>
    <w:rsid w:val="00592912"/>
    <w:rsid w:val="0062469D"/>
    <w:rsid w:val="006C4A0D"/>
    <w:rsid w:val="006E7FB1"/>
    <w:rsid w:val="00741B9E"/>
    <w:rsid w:val="007C2F04"/>
    <w:rsid w:val="007C779B"/>
    <w:rsid w:val="009D71E8"/>
    <w:rsid w:val="00B710D5"/>
    <w:rsid w:val="00BB7193"/>
    <w:rsid w:val="00BE13A6"/>
    <w:rsid w:val="00C041DF"/>
    <w:rsid w:val="00D07A7F"/>
    <w:rsid w:val="00D33FE5"/>
    <w:rsid w:val="00D704C4"/>
    <w:rsid w:val="00E66558"/>
    <w:rsid w:val="00E929D8"/>
    <w:rsid w:val="00F662B2"/>
    <w:rsid w:val="012D0FB6"/>
    <w:rsid w:val="01D2B66D"/>
    <w:rsid w:val="02117E49"/>
    <w:rsid w:val="02DAC1D0"/>
    <w:rsid w:val="04757497"/>
    <w:rsid w:val="0657994B"/>
    <w:rsid w:val="070D6C29"/>
    <w:rsid w:val="07E39E3D"/>
    <w:rsid w:val="088C683E"/>
    <w:rsid w:val="0AD6DAD4"/>
    <w:rsid w:val="0B687203"/>
    <w:rsid w:val="0FFD9FDF"/>
    <w:rsid w:val="102854EB"/>
    <w:rsid w:val="1126B0F5"/>
    <w:rsid w:val="1127B661"/>
    <w:rsid w:val="11AFC197"/>
    <w:rsid w:val="11EAE4FE"/>
    <w:rsid w:val="123A28D8"/>
    <w:rsid w:val="143486E2"/>
    <w:rsid w:val="15432A9E"/>
    <w:rsid w:val="154383EB"/>
    <w:rsid w:val="15E00421"/>
    <w:rsid w:val="15F14B68"/>
    <w:rsid w:val="17F274E7"/>
    <w:rsid w:val="1947F5DD"/>
    <w:rsid w:val="1C9882BE"/>
    <w:rsid w:val="1CF78857"/>
    <w:rsid w:val="1D0545B1"/>
    <w:rsid w:val="1FD23418"/>
    <w:rsid w:val="20C66A54"/>
    <w:rsid w:val="21EBD72A"/>
    <w:rsid w:val="22623AB5"/>
    <w:rsid w:val="2481EAD3"/>
    <w:rsid w:val="24FD9BBD"/>
    <w:rsid w:val="25C4F674"/>
    <w:rsid w:val="26B00D9D"/>
    <w:rsid w:val="2996F657"/>
    <w:rsid w:val="2A4496E2"/>
    <w:rsid w:val="2AFA0AD4"/>
    <w:rsid w:val="2B89DF2A"/>
    <w:rsid w:val="2B92D760"/>
    <w:rsid w:val="2C13908F"/>
    <w:rsid w:val="2C89A18F"/>
    <w:rsid w:val="2D768770"/>
    <w:rsid w:val="2D9FEEB5"/>
    <w:rsid w:val="2DDF1893"/>
    <w:rsid w:val="2EA8578F"/>
    <w:rsid w:val="2EDA644C"/>
    <w:rsid w:val="2FE7C303"/>
    <w:rsid w:val="3056EFE3"/>
    <w:rsid w:val="31200AEE"/>
    <w:rsid w:val="35AC15D5"/>
    <w:rsid w:val="366C0329"/>
    <w:rsid w:val="3747375B"/>
    <w:rsid w:val="37B9F45A"/>
    <w:rsid w:val="37E38EC8"/>
    <w:rsid w:val="3872EB96"/>
    <w:rsid w:val="38EF8D89"/>
    <w:rsid w:val="391A9F44"/>
    <w:rsid w:val="39EB0A36"/>
    <w:rsid w:val="3C2C8EFA"/>
    <w:rsid w:val="3CC9036F"/>
    <w:rsid w:val="3CE547C3"/>
    <w:rsid w:val="3E100D81"/>
    <w:rsid w:val="3FAA5D89"/>
    <w:rsid w:val="4029954F"/>
    <w:rsid w:val="40AB1594"/>
    <w:rsid w:val="4147AE43"/>
    <w:rsid w:val="4565E150"/>
    <w:rsid w:val="45D6B847"/>
    <w:rsid w:val="46E70E48"/>
    <w:rsid w:val="472FE7EB"/>
    <w:rsid w:val="4746919A"/>
    <w:rsid w:val="48667DC1"/>
    <w:rsid w:val="486D4B25"/>
    <w:rsid w:val="49B610D5"/>
    <w:rsid w:val="49E88E0A"/>
    <w:rsid w:val="4CC859FC"/>
    <w:rsid w:val="4D287823"/>
    <w:rsid w:val="4D3F6B92"/>
    <w:rsid w:val="4F95297B"/>
    <w:rsid w:val="50D8C901"/>
    <w:rsid w:val="513E7DCC"/>
    <w:rsid w:val="515769C3"/>
    <w:rsid w:val="519FE56C"/>
    <w:rsid w:val="524B9C02"/>
    <w:rsid w:val="540EF04A"/>
    <w:rsid w:val="54290353"/>
    <w:rsid w:val="54A022DC"/>
    <w:rsid w:val="5574955D"/>
    <w:rsid w:val="584176F5"/>
    <w:rsid w:val="5AABCB56"/>
    <w:rsid w:val="5B0CA1D9"/>
    <w:rsid w:val="5B3D67EF"/>
    <w:rsid w:val="5C8E4528"/>
    <w:rsid w:val="5D1D8331"/>
    <w:rsid w:val="5D8B0464"/>
    <w:rsid w:val="5E2DDCC5"/>
    <w:rsid w:val="5E317AA8"/>
    <w:rsid w:val="607EF66F"/>
    <w:rsid w:val="6161B64B"/>
    <w:rsid w:val="6304EBCB"/>
    <w:rsid w:val="6310D720"/>
    <w:rsid w:val="645B8573"/>
    <w:rsid w:val="64C7F05C"/>
    <w:rsid w:val="65F755D4"/>
    <w:rsid w:val="660A45E1"/>
    <w:rsid w:val="66136EB7"/>
    <w:rsid w:val="6730FC9A"/>
    <w:rsid w:val="67EEC2C8"/>
    <w:rsid w:val="68329F11"/>
    <w:rsid w:val="6AF6D553"/>
    <w:rsid w:val="6B77B291"/>
    <w:rsid w:val="6C82FE74"/>
    <w:rsid w:val="6C849DE1"/>
    <w:rsid w:val="6CBAD0E0"/>
    <w:rsid w:val="6D8B33C3"/>
    <w:rsid w:val="6E7CCFDE"/>
    <w:rsid w:val="6FA0B961"/>
    <w:rsid w:val="6FE3F73A"/>
    <w:rsid w:val="7180CC50"/>
    <w:rsid w:val="725274AB"/>
    <w:rsid w:val="731B97FC"/>
    <w:rsid w:val="731F704B"/>
    <w:rsid w:val="74266FF8"/>
    <w:rsid w:val="74B7685D"/>
    <w:rsid w:val="74E3255E"/>
    <w:rsid w:val="75A4427F"/>
    <w:rsid w:val="78DBE341"/>
    <w:rsid w:val="79562DC9"/>
    <w:rsid w:val="7987F80E"/>
    <w:rsid w:val="7A614DCC"/>
    <w:rsid w:val="7B316899"/>
    <w:rsid w:val="7BD4D034"/>
    <w:rsid w:val="7C2526A3"/>
    <w:rsid w:val="7CD815CC"/>
    <w:rsid w:val="7D1BC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PlaceholderText">
    <w:name w:val="Placeholder Text"/>
    <w:basedOn w:val="DefaultParagraphFont"/>
    <w:rsid w:val="002173A3"/>
    <w:rPr>
      <w:color w:val="808080"/>
    </w:rPr>
  </w:style>
  <w:style w:type="character" w:styleId="normaltextrun" w:customStyle="1">
    <w:name w:val="normaltextrun"/>
    <w:basedOn w:val="DefaultParagraphFont"/>
    <w:rsid w:val="0013296E"/>
  </w:style>
  <w:style w:type="character" w:styleId="eop" w:customStyle="1">
    <w:name w:val="eop"/>
    <w:basedOn w:val="DefaultParagraphFont"/>
    <w:rsid w:val="0013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3CA3E6768F3B42895F7FC735618806" ma:contentTypeVersion="11" ma:contentTypeDescription="Create a new document." ma:contentTypeScope="" ma:versionID="c65a0ff9a0761d698a061839d3158b65">
  <xsd:schema xmlns:xsd="http://www.w3.org/2001/XMLSchema" xmlns:xs="http://www.w3.org/2001/XMLSchema" xmlns:p="http://schemas.microsoft.com/office/2006/metadata/properties" xmlns:ns2="d10112cc-c2e5-46e2-8d59-071449aad050" xmlns:ns3="3e411e7d-219f-43f3-962d-6e6d84178a53" targetNamespace="http://schemas.microsoft.com/office/2006/metadata/properties" ma:root="true" ma:fieldsID="9c96629f8c10f86f58d2a38f515b430c" ns2:_="" ns3:_="">
    <xsd:import namespace="d10112cc-c2e5-46e2-8d59-071449aad05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12cc-c2e5-46e2-8d59-071449aad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8E909-ACDF-4576-BE81-09D2FE640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97909-54DA-42FC-8D49-12D4A9CD9CA0}"/>
</file>

<file path=customXml/itemProps3.xml><?xml version="1.0" encoding="utf-8"?>
<ds:datastoreItem xmlns:ds="http://schemas.openxmlformats.org/officeDocument/2006/customXml" ds:itemID="{D6CC892D-75FB-47EF-8A4E-EECBDF900F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Airy Hill Headteacher</lastModifiedBy>
  <revision>6</revision>
  <lastPrinted>2014-09-17T13:26:00.0000000Z</lastPrinted>
  <dcterms:created xsi:type="dcterms:W3CDTF">2023-09-07T12:30:00.0000000Z</dcterms:created>
  <dcterms:modified xsi:type="dcterms:W3CDTF">2023-09-19T10:04:35.1737728Z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0x010100773CA3E6768F3B42895F7FC735618806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